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E97EF9">
      <w:pPr>
        <w:adjustRightInd w:val="0"/>
        <w:spacing w:line="360" w:lineRule="atLeast"/>
        <w:jc w:val="center"/>
        <w:textAlignment w:val="baseline"/>
        <w:rPr>
          <w:rFonts w:hint="eastAsia" w:ascii="方正小标宋简体" w:hAnsi="宋体" w:eastAsia="方正小标宋简体" w:cs="Times New Roman"/>
          <w:kern w:val="0"/>
          <w:sz w:val="44"/>
          <w:szCs w:val="44"/>
        </w:rPr>
      </w:pPr>
    </w:p>
    <w:p w14:paraId="10DB4A72">
      <w:pPr>
        <w:pStyle w:val="2"/>
        <w:rPr>
          <w:rFonts w:hint="eastAsia"/>
        </w:rPr>
      </w:pPr>
    </w:p>
    <w:p w14:paraId="305BA74E">
      <w:pPr>
        <w:adjustRightInd w:val="0"/>
        <w:spacing w:line="360" w:lineRule="atLeast"/>
        <w:jc w:val="center"/>
        <w:textAlignment w:val="baseline"/>
        <w:rPr>
          <w:rFonts w:hint="eastAsia" w:ascii="微软雅黑" w:hAnsi="微软雅黑" w:eastAsia="微软雅黑" w:cs="微软雅黑"/>
          <w:kern w:val="0"/>
          <w:sz w:val="48"/>
          <w:szCs w:val="48"/>
        </w:rPr>
      </w:pPr>
      <w:r>
        <w:rPr>
          <w:rFonts w:hint="eastAsia" w:ascii="微软雅黑" w:hAnsi="微软雅黑" w:eastAsia="微软雅黑" w:cs="微软雅黑"/>
          <w:kern w:val="0"/>
          <w:sz w:val="48"/>
          <w:szCs w:val="48"/>
        </w:rPr>
        <w:t>天津市宁河区</w:t>
      </w:r>
      <w:r>
        <w:rPr>
          <w:rFonts w:hint="eastAsia" w:ascii="微软雅黑" w:hAnsi="微软雅黑" w:eastAsia="微软雅黑" w:cs="微软雅黑"/>
          <w:kern w:val="0"/>
          <w:sz w:val="48"/>
          <w:szCs w:val="48"/>
          <w:lang w:val="en-US" w:eastAsia="zh-CN"/>
        </w:rPr>
        <w:t>2023年绿化养管项目</w:t>
      </w:r>
      <w:r>
        <w:rPr>
          <w:rFonts w:hint="eastAsia" w:ascii="微软雅黑" w:hAnsi="微软雅黑" w:eastAsia="微软雅黑" w:cs="微软雅黑"/>
          <w:kern w:val="0"/>
          <w:sz w:val="48"/>
          <w:szCs w:val="48"/>
        </w:rPr>
        <w:t>事前绩效评</w:t>
      </w:r>
      <w:r>
        <w:rPr>
          <w:rFonts w:hint="eastAsia" w:ascii="微软雅黑" w:hAnsi="微软雅黑" w:eastAsia="微软雅黑" w:cs="微软雅黑"/>
          <w:kern w:val="0"/>
          <w:sz w:val="48"/>
          <w:szCs w:val="48"/>
          <w:lang w:eastAsia="zh-CN"/>
        </w:rPr>
        <w:t>估</w:t>
      </w:r>
      <w:r>
        <w:rPr>
          <w:rFonts w:hint="eastAsia" w:ascii="微软雅黑" w:hAnsi="微软雅黑" w:eastAsia="微软雅黑" w:cs="微软雅黑"/>
          <w:kern w:val="0"/>
          <w:sz w:val="48"/>
          <w:szCs w:val="48"/>
        </w:rPr>
        <w:t>报告</w:t>
      </w:r>
    </w:p>
    <w:p w14:paraId="1EAC9A8B">
      <w:pPr>
        <w:snapToGrid w:val="0"/>
        <w:spacing w:line="360" w:lineRule="auto"/>
        <w:rPr>
          <w:rFonts w:hint="eastAsia" w:ascii="Times New Roman" w:hAnsi="Times New Roman" w:eastAsia="仿宋_GB2312" w:cs="Times New Roman"/>
          <w:lang w:eastAsia="zh-CN"/>
        </w:rPr>
      </w:pPr>
    </w:p>
    <w:p w14:paraId="2432B9DF">
      <w:pPr>
        <w:snapToGrid w:val="0"/>
        <w:spacing w:line="360" w:lineRule="auto"/>
        <w:rPr>
          <w:rFonts w:hint="eastAsia" w:ascii="Times New Roman" w:hAnsi="Times New Roman" w:eastAsia="仿宋_GB2312" w:cs="Times New Roman"/>
          <w:lang w:eastAsia="zh-CN"/>
        </w:rPr>
      </w:pPr>
    </w:p>
    <w:p w14:paraId="388D0BA2">
      <w:pPr>
        <w:snapToGrid w:val="0"/>
        <w:spacing w:line="360" w:lineRule="auto"/>
        <w:rPr>
          <w:rFonts w:hint="eastAsia" w:ascii="Times New Roman" w:hAnsi="Times New Roman" w:eastAsia="仿宋_GB2312" w:cs="Times New Roman"/>
          <w:lang w:eastAsia="zh-CN"/>
        </w:rPr>
      </w:pPr>
    </w:p>
    <w:p w14:paraId="276C2287">
      <w:pPr>
        <w:snapToGrid w:val="0"/>
        <w:spacing w:line="360" w:lineRule="auto"/>
        <w:jc w:val="center"/>
        <w:rPr>
          <w:rFonts w:ascii="Times New Roman" w:hAnsi="Times New Roman" w:eastAsia="仿宋_GB2312" w:cs="Times New Roman"/>
        </w:rPr>
      </w:pPr>
    </w:p>
    <w:p w14:paraId="03BE520B">
      <w:pPr>
        <w:snapToGrid w:val="0"/>
        <w:spacing w:line="360" w:lineRule="auto"/>
        <w:rPr>
          <w:rFonts w:hint="eastAsia" w:ascii="黑体" w:hAnsi="黑体" w:eastAsia="黑体" w:cs="黑体"/>
        </w:rPr>
      </w:pPr>
    </w:p>
    <w:p w14:paraId="5DED413E">
      <w:pPr>
        <w:snapToGrid w:val="0"/>
        <w:spacing w:line="360" w:lineRule="auto"/>
        <w:rPr>
          <w:rFonts w:hint="eastAsia" w:ascii="黑体" w:hAnsi="黑体" w:eastAsia="黑体" w:cs="黑体"/>
        </w:rPr>
      </w:pPr>
    </w:p>
    <w:p w14:paraId="07A352B9">
      <w:pPr>
        <w:snapToGrid w:val="0"/>
        <w:spacing w:line="360" w:lineRule="auto"/>
        <w:jc w:val="center"/>
        <w:rPr>
          <w:rFonts w:hint="eastAsia" w:ascii="黑体" w:hAnsi="黑体" w:eastAsia="黑体" w:cs="黑体"/>
          <w:b/>
          <w:bCs/>
          <w:sz w:val="36"/>
          <w:szCs w:val="36"/>
        </w:rPr>
      </w:pPr>
    </w:p>
    <w:p w14:paraId="2ED0883D">
      <w:pPr>
        <w:snapToGrid w:val="0"/>
        <w:spacing w:line="360" w:lineRule="auto"/>
        <w:jc w:val="left"/>
        <w:rPr>
          <w:rFonts w:hint="eastAsia" w:ascii="黑体" w:hAnsi="黑体" w:eastAsia="黑体" w:cs="黑体"/>
          <w:b/>
          <w:bCs/>
          <w:sz w:val="36"/>
          <w:szCs w:val="36"/>
        </w:rPr>
      </w:pPr>
    </w:p>
    <w:p w14:paraId="22BA0B67">
      <w:pPr>
        <w:keepNext w:val="0"/>
        <w:keepLines w:val="0"/>
        <w:pageBreakBefore w:val="0"/>
        <w:widowControl w:val="0"/>
        <w:kinsoku/>
        <w:wordWrap/>
        <w:overflowPunct/>
        <w:topLinePunct w:val="0"/>
        <w:autoSpaceDE/>
        <w:autoSpaceDN/>
        <w:bidi w:val="0"/>
        <w:adjustRightInd w:val="0"/>
        <w:snapToGrid/>
        <w:spacing w:line="360" w:lineRule="atLeast"/>
        <w:ind w:firstLine="1920" w:firstLineChars="600"/>
        <w:jc w:val="both"/>
        <w:textAlignment w:val="baseline"/>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委托单位：天津市宁河区财政局</w:t>
      </w:r>
    </w:p>
    <w:p w14:paraId="402329F4">
      <w:pPr>
        <w:keepNext w:val="0"/>
        <w:keepLines w:val="0"/>
        <w:pageBreakBefore w:val="0"/>
        <w:widowControl w:val="0"/>
        <w:kinsoku/>
        <w:wordWrap/>
        <w:overflowPunct/>
        <w:topLinePunct w:val="0"/>
        <w:autoSpaceDE/>
        <w:autoSpaceDN/>
        <w:bidi w:val="0"/>
        <w:adjustRightInd w:val="0"/>
        <w:snapToGrid/>
        <w:spacing w:line="360" w:lineRule="atLeast"/>
        <w:ind w:firstLine="1920" w:firstLineChars="600"/>
        <w:jc w:val="both"/>
        <w:textAlignment w:val="baseline"/>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eastAsia="zh-CN"/>
        </w:rPr>
        <w:t>评估机构：</w:t>
      </w:r>
      <w:r>
        <w:rPr>
          <w:rFonts w:hint="eastAsia" w:ascii="黑体" w:hAnsi="黑体" w:eastAsia="黑体" w:cs="黑体"/>
          <w:kern w:val="0"/>
          <w:sz w:val="32"/>
          <w:szCs w:val="32"/>
          <w:lang w:val="en-US" w:eastAsia="zh-CN"/>
        </w:rPr>
        <w:t>立信中联会计师事务所（特殊普通合伙）</w:t>
      </w:r>
    </w:p>
    <w:p w14:paraId="4A225BF0">
      <w:pPr>
        <w:keepNext w:val="0"/>
        <w:keepLines w:val="0"/>
        <w:pageBreakBefore w:val="0"/>
        <w:widowControl w:val="0"/>
        <w:kinsoku/>
        <w:wordWrap/>
        <w:overflowPunct/>
        <w:topLinePunct w:val="0"/>
        <w:autoSpaceDE/>
        <w:autoSpaceDN/>
        <w:bidi w:val="0"/>
        <w:adjustRightInd w:val="0"/>
        <w:snapToGrid/>
        <w:spacing w:line="360" w:lineRule="atLeast"/>
        <w:ind w:firstLine="1920" w:firstLineChars="600"/>
        <w:jc w:val="both"/>
        <w:textAlignment w:val="baseline"/>
        <w:rPr>
          <w:rFonts w:hint="eastAsia" w:ascii="黑体" w:hAnsi="黑体" w:eastAsia="黑体" w:cs="黑体"/>
          <w:kern w:val="0"/>
          <w:sz w:val="32"/>
          <w:szCs w:val="32"/>
        </w:rPr>
      </w:pPr>
      <w:r>
        <w:rPr>
          <w:rFonts w:hint="eastAsia" w:ascii="黑体" w:hAnsi="黑体" w:eastAsia="黑体" w:cs="黑体"/>
          <w:kern w:val="0"/>
          <w:sz w:val="32"/>
          <w:szCs w:val="32"/>
          <w:lang w:eastAsia="zh-CN"/>
        </w:rPr>
        <w:t>报告时间：</w:t>
      </w:r>
      <w:r>
        <w:rPr>
          <w:rFonts w:hint="eastAsia" w:ascii="黑体" w:hAnsi="黑体" w:eastAsia="黑体" w:cs="黑体"/>
          <w:kern w:val="0"/>
          <w:sz w:val="32"/>
          <w:szCs w:val="32"/>
        </w:rPr>
        <w:t>二〇二</w:t>
      </w:r>
      <w:r>
        <w:rPr>
          <w:rFonts w:hint="eastAsia" w:ascii="黑体" w:hAnsi="黑体" w:eastAsia="黑体" w:cs="黑体"/>
          <w:kern w:val="0"/>
          <w:sz w:val="32"/>
          <w:szCs w:val="32"/>
          <w:lang w:eastAsia="zh-CN"/>
        </w:rPr>
        <w:t>二</w:t>
      </w:r>
      <w:r>
        <w:rPr>
          <w:rFonts w:hint="eastAsia" w:ascii="黑体" w:hAnsi="黑体" w:eastAsia="黑体" w:cs="黑体"/>
          <w:kern w:val="0"/>
          <w:sz w:val="32"/>
          <w:szCs w:val="32"/>
        </w:rPr>
        <w:t>年</w:t>
      </w:r>
      <w:r>
        <w:rPr>
          <w:rFonts w:hint="eastAsia" w:ascii="黑体" w:hAnsi="黑体" w:eastAsia="黑体" w:cs="黑体"/>
          <w:kern w:val="0"/>
          <w:sz w:val="32"/>
          <w:szCs w:val="32"/>
          <w:lang w:val="en-US" w:eastAsia="zh-CN"/>
        </w:rPr>
        <w:t>十一</w:t>
      </w:r>
      <w:r>
        <w:rPr>
          <w:rFonts w:hint="eastAsia" w:ascii="黑体" w:hAnsi="黑体" w:eastAsia="黑体" w:cs="黑体"/>
          <w:kern w:val="0"/>
          <w:sz w:val="32"/>
          <w:szCs w:val="32"/>
        </w:rPr>
        <w:t>月</w:t>
      </w:r>
      <w:r>
        <w:rPr>
          <w:rFonts w:hint="eastAsia" w:ascii="黑体" w:hAnsi="黑体" w:eastAsia="黑体" w:cs="黑体"/>
          <w:kern w:val="0"/>
          <w:sz w:val="32"/>
          <w:szCs w:val="32"/>
          <w:lang w:val="en-US" w:eastAsia="zh-CN"/>
        </w:rPr>
        <w:t>二十六</w:t>
      </w:r>
      <w:r>
        <w:rPr>
          <w:rFonts w:hint="eastAsia" w:ascii="黑体" w:hAnsi="黑体" w:eastAsia="黑体" w:cs="黑体"/>
          <w:kern w:val="0"/>
          <w:sz w:val="32"/>
          <w:szCs w:val="32"/>
        </w:rPr>
        <w:t>日</w:t>
      </w:r>
    </w:p>
    <w:p w14:paraId="6A437F31">
      <w:pPr>
        <w:keepNext w:val="0"/>
        <w:keepLines w:val="0"/>
        <w:pageBreakBefore w:val="0"/>
        <w:widowControl w:val="0"/>
        <w:kinsoku/>
        <w:wordWrap/>
        <w:overflowPunct/>
        <w:topLinePunct w:val="0"/>
        <w:autoSpaceDE/>
        <w:autoSpaceDN/>
        <w:bidi w:val="0"/>
        <w:adjustRightInd/>
        <w:snapToGrid w:val="0"/>
        <w:spacing w:line="360" w:lineRule="auto"/>
        <w:ind w:firstLine="1446" w:firstLineChars="400"/>
        <w:jc w:val="left"/>
        <w:textAlignment w:val="auto"/>
        <w:rPr>
          <w:rFonts w:hint="eastAsia" w:ascii="黑体" w:hAnsi="黑体" w:eastAsia="黑体" w:cs="黑体"/>
          <w:b/>
          <w:bCs/>
          <w:sz w:val="36"/>
          <w:szCs w:val="36"/>
          <w:lang w:eastAsia="zh-CN"/>
        </w:rPr>
      </w:pPr>
    </w:p>
    <w:p w14:paraId="50E9E4BF">
      <w:pPr>
        <w:snapToGrid w:val="0"/>
        <w:spacing w:line="360" w:lineRule="auto"/>
        <w:rPr>
          <w:rFonts w:hint="eastAsia" w:ascii="黑体" w:hAnsi="黑体" w:eastAsia="黑体" w:cs="黑体"/>
        </w:rPr>
      </w:pPr>
    </w:p>
    <w:p w14:paraId="215BFB8C">
      <w:pPr>
        <w:widowControl/>
        <w:spacing w:line="360" w:lineRule="auto"/>
        <w:jc w:val="left"/>
        <w:rPr>
          <w:rFonts w:hint="eastAsia" w:ascii="微软雅黑" w:hAnsi="微软雅黑" w:eastAsia="微软雅黑" w:cs="微软雅黑"/>
          <w:b/>
          <w:bCs/>
          <w:sz w:val="36"/>
          <w:szCs w:val="36"/>
          <w:lang w:val="en-US" w:eastAsia="zh-CN"/>
        </w:rPr>
        <w:sectPr>
          <w:pgSz w:w="11906" w:h="16838"/>
          <w:pgMar w:top="2098" w:right="1474" w:bottom="1984" w:left="1587" w:header="851" w:footer="992" w:gutter="0"/>
          <w:pgNumType w:fmt="decimal"/>
          <w:cols w:space="720" w:num="1"/>
          <w:rtlGutter w:val="0"/>
          <w:docGrid w:type="lines" w:linePitch="312" w:charSpace="0"/>
        </w:sectPr>
      </w:pPr>
      <w:r>
        <w:rPr>
          <w:rFonts w:hint="eastAsia" w:ascii="微软雅黑" w:hAnsi="微软雅黑" w:eastAsia="微软雅黑" w:cs="微软雅黑"/>
          <w:b/>
          <w:bCs/>
          <w:sz w:val="36"/>
          <w:szCs w:val="36"/>
          <w:lang w:val="en-US" w:eastAsia="zh-CN"/>
        </w:rPr>
        <w:t xml:space="preserve"> </w:t>
      </w:r>
    </w:p>
    <w:p w14:paraId="6C19776E">
      <w:pPr>
        <w:keepNext w:val="0"/>
        <w:keepLines w:val="0"/>
        <w:pageBreakBefore w:val="0"/>
        <w:widowControl w:val="0"/>
        <w:kinsoku/>
        <w:wordWrap/>
        <w:overflowPunct/>
        <w:topLinePunct w:val="0"/>
        <w:autoSpaceDE/>
        <w:autoSpaceDN/>
        <w:bidi w:val="0"/>
        <w:adjustRightInd w:val="0"/>
        <w:snapToGrid/>
        <w:spacing w:line="360" w:lineRule="atLeast"/>
        <w:jc w:val="center"/>
        <w:textAlignment w:val="baseline"/>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目 录</w:t>
      </w:r>
    </w:p>
    <w:p w14:paraId="7264C119">
      <w:pPr>
        <w:pStyle w:val="10"/>
        <w:tabs>
          <w:tab w:val="right" w:leader="dot" w:pos="8845"/>
        </w:tabs>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"1-3" \h \u </w:instrText>
      </w:r>
      <w:r>
        <w:rPr>
          <w:rFonts w:hint="eastAsia" w:ascii="仿宋" w:hAnsi="仿宋" w:eastAsia="仿宋" w:cs="仿宋"/>
          <w:sz w:val="28"/>
          <w:szCs w:val="28"/>
        </w:rPr>
        <w:fldChar w:fldCharType="separate"/>
      </w:r>
      <w:r>
        <w:rPr>
          <w:rFonts w:hint="eastAsia" w:ascii="仿宋" w:hAnsi="仿宋" w:eastAsia="仿宋" w:cs="仿宋"/>
          <w:szCs w:val="28"/>
        </w:rPr>
        <w:fldChar w:fldCharType="begin"/>
      </w:r>
      <w:r>
        <w:rPr>
          <w:rFonts w:hint="eastAsia" w:ascii="仿宋" w:hAnsi="仿宋" w:eastAsia="仿宋" w:cs="仿宋"/>
          <w:szCs w:val="28"/>
        </w:rPr>
        <w:instrText xml:space="preserve"> HYPERLINK \l _Toc18628 </w:instrText>
      </w:r>
      <w:r>
        <w:rPr>
          <w:rFonts w:hint="eastAsia" w:ascii="仿宋" w:hAnsi="仿宋" w:eastAsia="仿宋" w:cs="仿宋"/>
          <w:szCs w:val="28"/>
        </w:rPr>
        <w:fldChar w:fldCharType="separate"/>
      </w:r>
      <w:r>
        <w:rPr>
          <w:rFonts w:hint="eastAsia"/>
          <w:lang w:eastAsia="zh-CN"/>
        </w:rPr>
        <w:t>摘 要</w:t>
      </w:r>
      <w:r>
        <w:tab/>
      </w:r>
      <w:r>
        <w:fldChar w:fldCharType="begin"/>
      </w:r>
      <w:r>
        <w:instrText xml:space="preserve"> PAGEREF _Toc18628 \h </w:instrText>
      </w:r>
      <w:r>
        <w:fldChar w:fldCharType="separate"/>
      </w:r>
      <w:r>
        <w:t>1</w:t>
      </w:r>
      <w:r>
        <w:fldChar w:fldCharType="end"/>
      </w:r>
      <w:r>
        <w:rPr>
          <w:rFonts w:hint="eastAsia" w:ascii="仿宋" w:hAnsi="仿宋" w:eastAsia="仿宋" w:cs="仿宋"/>
          <w:szCs w:val="28"/>
        </w:rPr>
        <w:fldChar w:fldCharType="end"/>
      </w:r>
    </w:p>
    <w:p w14:paraId="38A62D73">
      <w:pPr>
        <w:pStyle w:val="10"/>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_Toc31235 </w:instrText>
      </w:r>
      <w:r>
        <w:rPr>
          <w:rFonts w:hint="eastAsia" w:ascii="仿宋" w:hAnsi="仿宋" w:eastAsia="仿宋" w:cs="仿宋"/>
          <w:szCs w:val="28"/>
        </w:rPr>
        <w:fldChar w:fldCharType="separate"/>
      </w:r>
      <w:r>
        <w:rPr>
          <w:rFonts w:hint="eastAsia" w:ascii="黑体" w:hAnsi="黑体" w:eastAsia="黑体" w:cs="黑体"/>
          <w:bCs/>
          <w:szCs w:val="32"/>
        </w:rPr>
        <w:t>前 言</w:t>
      </w:r>
      <w:r>
        <w:tab/>
      </w:r>
      <w:r>
        <w:fldChar w:fldCharType="begin"/>
      </w:r>
      <w:r>
        <w:instrText xml:space="preserve"> PAGEREF _Toc31235 \h </w:instrText>
      </w:r>
      <w:r>
        <w:fldChar w:fldCharType="separate"/>
      </w:r>
      <w:r>
        <w:t>2</w:t>
      </w:r>
      <w:r>
        <w:fldChar w:fldCharType="end"/>
      </w:r>
      <w:r>
        <w:rPr>
          <w:rFonts w:hint="eastAsia" w:ascii="仿宋" w:hAnsi="仿宋" w:eastAsia="仿宋" w:cs="仿宋"/>
          <w:szCs w:val="28"/>
        </w:rPr>
        <w:fldChar w:fldCharType="end"/>
      </w:r>
    </w:p>
    <w:p w14:paraId="03864C3F">
      <w:pPr>
        <w:pStyle w:val="10"/>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_Toc12224 </w:instrText>
      </w:r>
      <w:r>
        <w:rPr>
          <w:rFonts w:hint="eastAsia" w:ascii="仿宋" w:hAnsi="仿宋" w:eastAsia="仿宋" w:cs="仿宋"/>
          <w:szCs w:val="28"/>
        </w:rPr>
        <w:fldChar w:fldCharType="separate"/>
      </w:r>
      <w:r>
        <w:rPr>
          <w:rFonts w:hint="eastAsia"/>
        </w:rPr>
        <w:t>一、项目概况</w:t>
      </w:r>
      <w:r>
        <w:tab/>
      </w:r>
      <w:r>
        <w:fldChar w:fldCharType="begin"/>
      </w:r>
      <w:r>
        <w:instrText xml:space="preserve"> PAGEREF _Toc12224 \h </w:instrText>
      </w:r>
      <w:r>
        <w:fldChar w:fldCharType="separate"/>
      </w:r>
      <w:r>
        <w:t>2</w:t>
      </w:r>
      <w:r>
        <w:fldChar w:fldCharType="end"/>
      </w:r>
      <w:r>
        <w:rPr>
          <w:rFonts w:hint="eastAsia" w:ascii="仿宋" w:hAnsi="仿宋" w:eastAsia="仿宋" w:cs="仿宋"/>
          <w:szCs w:val="28"/>
        </w:rPr>
        <w:fldChar w:fldCharType="end"/>
      </w:r>
    </w:p>
    <w:p w14:paraId="44EFC0D0">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_Toc28049 </w:instrText>
      </w:r>
      <w:r>
        <w:rPr>
          <w:rFonts w:hint="eastAsia" w:ascii="仿宋" w:hAnsi="仿宋" w:eastAsia="仿宋" w:cs="仿宋"/>
          <w:szCs w:val="28"/>
        </w:rPr>
        <w:fldChar w:fldCharType="separate"/>
      </w:r>
      <w:r>
        <w:rPr>
          <w:rFonts w:hint="eastAsia"/>
          <w:lang w:val="en-US" w:eastAsia="zh-CN"/>
        </w:rPr>
        <w:t>（一）项目立项基本情况</w:t>
      </w:r>
      <w:r>
        <w:tab/>
      </w:r>
      <w:r>
        <w:fldChar w:fldCharType="begin"/>
      </w:r>
      <w:r>
        <w:instrText xml:space="preserve"> PAGEREF _Toc28049 \h </w:instrText>
      </w:r>
      <w:r>
        <w:fldChar w:fldCharType="separate"/>
      </w:r>
      <w:r>
        <w:t>2</w:t>
      </w:r>
      <w:r>
        <w:fldChar w:fldCharType="end"/>
      </w:r>
      <w:r>
        <w:rPr>
          <w:rFonts w:hint="eastAsia" w:ascii="仿宋" w:hAnsi="仿宋" w:eastAsia="仿宋" w:cs="仿宋"/>
          <w:szCs w:val="28"/>
        </w:rPr>
        <w:fldChar w:fldCharType="end"/>
      </w:r>
    </w:p>
    <w:p w14:paraId="61E4044F">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_Toc14800 </w:instrText>
      </w:r>
      <w:r>
        <w:rPr>
          <w:rFonts w:hint="eastAsia" w:ascii="仿宋" w:hAnsi="仿宋" w:eastAsia="仿宋" w:cs="仿宋"/>
          <w:szCs w:val="28"/>
        </w:rPr>
        <w:fldChar w:fldCharType="separate"/>
      </w:r>
      <w:r>
        <w:rPr>
          <w:rFonts w:hint="eastAsia"/>
          <w:lang w:val="en-US" w:eastAsia="zh-CN"/>
        </w:rPr>
        <w:t>（二）项目投入基本情况</w:t>
      </w:r>
      <w:r>
        <w:tab/>
      </w:r>
      <w:r>
        <w:fldChar w:fldCharType="begin"/>
      </w:r>
      <w:r>
        <w:instrText xml:space="preserve"> PAGEREF _Toc14800 \h </w:instrText>
      </w:r>
      <w:r>
        <w:fldChar w:fldCharType="separate"/>
      </w:r>
      <w:r>
        <w:t>3</w:t>
      </w:r>
      <w:r>
        <w:fldChar w:fldCharType="end"/>
      </w:r>
      <w:r>
        <w:rPr>
          <w:rFonts w:hint="eastAsia" w:ascii="仿宋" w:hAnsi="仿宋" w:eastAsia="仿宋" w:cs="仿宋"/>
          <w:szCs w:val="28"/>
        </w:rPr>
        <w:fldChar w:fldCharType="end"/>
      </w:r>
    </w:p>
    <w:p w14:paraId="69C2E63A">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_Toc22445 </w:instrText>
      </w:r>
      <w:r>
        <w:rPr>
          <w:rFonts w:hint="eastAsia" w:ascii="仿宋" w:hAnsi="仿宋" w:eastAsia="仿宋" w:cs="仿宋"/>
          <w:szCs w:val="28"/>
        </w:rPr>
        <w:fldChar w:fldCharType="separate"/>
      </w:r>
      <w:r>
        <w:rPr>
          <w:rFonts w:hint="eastAsia"/>
          <w:lang w:val="en-US" w:eastAsia="zh-CN"/>
        </w:rPr>
        <w:t>（三）绩效目标基本情况</w:t>
      </w:r>
      <w:r>
        <w:tab/>
      </w:r>
      <w:r>
        <w:fldChar w:fldCharType="begin"/>
      </w:r>
      <w:r>
        <w:instrText xml:space="preserve"> PAGEREF _Toc22445 \h </w:instrText>
      </w:r>
      <w:r>
        <w:fldChar w:fldCharType="separate"/>
      </w:r>
      <w:r>
        <w:t>4</w:t>
      </w:r>
      <w:r>
        <w:fldChar w:fldCharType="end"/>
      </w:r>
      <w:r>
        <w:rPr>
          <w:rFonts w:hint="eastAsia" w:ascii="仿宋" w:hAnsi="仿宋" w:eastAsia="仿宋" w:cs="仿宋"/>
          <w:szCs w:val="28"/>
        </w:rPr>
        <w:fldChar w:fldCharType="end"/>
      </w:r>
    </w:p>
    <w:p w14:paraId="1D09B97A">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_Toc16092 </w:instrText>
      </w:r>
      <w:r>
        <w:rPr>
          <w:rFonts w:hint="eastAsia" w:ascii="仿宋" w:hAnsi="仿宋" w:eastAsia="仿宋" w:cs="仿宋"/>
          <w:szCs w:val="28"/>
        </w:rPr>
        <w:fldChar w:fldCharType="separate"/>
      </w:r>
      <w:r>
        <w:rPr>
          <w:rFonts w:hint="eastAsia"/>
          <w:lang w:eastAsia="zh-CN"/>
        </w:rPr>
        <w:t>（</w:t>
      </w:r>
      <w:r>
        <w:rPr>
          <w:rFonts w:hint="eastAsia"/>
          <w:lang w:val="en-US" w:eastAsia="zh-CN"/>
        </w:rPr>
        <w:t>四</w:t>
      </w:r>
      <w:r>
        <w:rPr>
          <w:rFonts w:hint="eastAsia"/>
          <w:lang w:eastAsia="zh-CN"/>
        </w:rPr>
        <w:t>）项目</w:t>
      </w:r>
      <w:r>
        <w:rPr>
          <w:rFonts w:hint="eastAsia"/>
          <w:lang w:val="en-US" w:eastAsia="zh-CN"/>
        </w:rPr>
        <w:t>筹资基本情况</w:t>
      </w:r>
      <w:r>
        <w:tab/>
      </w:r>
      <w:r>
        <w:fldChar w:fldCharType="begin"/>
      </w:r>
      <w:r>
        <w:instrText xml:space="preserve"> PAGEREF _Toc16092 \h </w:instrText>
      </w:r>
      <w:r>
        <w:fldChar w:fldCharType="separate"/>
      </w:r>
      <w:r>
        <w:t>4</w:t>
      </w:r>
      <w:r>
        <w:fldChar w:fldCharType="end"/>
      </w:r>
      <w:r>
        <w:rPr>
          <w:rFonts w:hint="eastAsia" w:ascii="仿宋" w:hAnsi="仿宋" w:eastAsia="仿宋" w:cs="仿宋"/>
          <w:szCs w:val="28"/>
        </w:rPr>
        <w:fldChar w:fldCharType="end"/>
      </w:r>
    </w:p>
    <w:p w14:paraId="52892E1D">
      <w:pPr>
        <w:pStyle w:val="10"/>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_Toc6254 </w:instrText>
      </w:r>
      <w:r>
        <w:rPr>
          <w:rFonts w:hint="eastAsia" w:ascii="仿宋" w:hAnsi="仿宋" w:eastAsia="仿宋" w:cs="仿宋"/>
          <w:szCs w:val="28"/>
        </w:rPr>
        <w:fldChar w:fldCharType="separate"/>
      </w:r>
      <w:r>
        <w:rPr>
          <w:rFonts w:hint="eastAsia"/>
          <w:lang w:val="en-US" w:eastAsia="zh-CN"/>
        </w:rPr>
        <w:t>二、事前绩效评估工作情况</w:t>
      </w:r>
      <w:r>
        <w:tab/>
      </w:r>
      <w:r>
        <w:fldChar w:fldCharType="begin"/>
      </w:r>
      <w:r>
        <w:instrText xml:space="preserve"> PAGEREF _Toc6254 \h </w:instrText>
      </w:r>
      <w:r>
        <w:fldChar w:fldCharType="separate"/>
      </w:r>
      <w:r>
        <w:t>4</w:t>
      </w:r>
      <w:r>
        <w:fldChar w:fldCharType="end"/>
      </w:r>
      <w:r>
        <w:rPr>
          <w:rFonts w:hint="eastAsia" w:ascii="仿宋" w:hAnsi="仿宋" w:eastAsia="仿宋" w:cs="仿宋"/>
          <w:szCs w:val="28"/>
        </w:rPr>
        <w:fldChar w:fldCharType="end"/>
      </w:r>
    </w:p>
    <w:p w14:paraId="72A818D5">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_Toc10762 </w:instrText>
      </w:r>
      <w:r>
        <w:rPr>
          <w:rFonts w:hint="eastAsia" w:ascii="仿宋" w:hAnsi="仿宋" w:eastAsia="仿宋" w:cs="仿宋"/>
          <w:szCs w:val="28"/>
        </w:rPr>
        <w:fldChar w:fldCharType="separate"/>
      </w:r>
      <w:r>
        <w:rPr>
          <w:rFonts w:hint="eastAsia"/>
          <w:lang w:eastAsia="zh-CN"/>
        </w:rPr>
        <w:t>（一）</w:t>
      </w:r>
      <w:r>
        <w:rPr>
          <w:rFonts w:hint="eastAsia"/>
        </w:rPr>
        <w:t>事前绩效评估依据</w:t>
      </w:r>
      <w:r>
        <w:rPr>
          <w:rFonts w:hint="eastAsia"/>
          <w:lang w:eastAsia="zh-CN"/>
        </w:rPr>
        <w:t>和目的</w:t>
      </w:r>
      <w:r>
        <w:tab/>
      </w:r>
      <w:r>
        <w:fldChar w:fldCharType="begin"/>
      </w:r>
      <w:r>
        <w:instrText xml:space="preserve"> PAGEREF _Toc10762 \h </w:instrText>
      </w:r>
      <w:r>
        <w:fldChar w:fldCharType="separate"/>
      </w:r>
      <w:r>
        <w:t>5</w:t>
      </w:r>
      <w:r>
        <w:fldChar w:fldCharType="end"/>
      </w:r>
      <w:r>
        <w:rPr>
          <w:rFonts w:hint="eastAsia" w:ascii="仿宋" w:hAnsi="仿宋" w:eastAsia="仿宋" w:cs="仿宋"/>
          <w:szCs w:val="28"/>
        </w:rPr>
        <w:fldChar w:fldCharType="end"/>
      </w:r>
    </w:p>
    <w:p w14:paraId="0DBA0565">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_Toc23062 </w:instrText>
      </w:r>
      <w:r>
        <w:rPr>
          <w:rFonts w:hint="eastAsia" w:ascii="仿宋" w:hAnsi="仿宋" w:eastAsia="仿宋" w:cs="仿宋"/>
          <w:szCs w:val="28"/>
        </w:rPr>
        <w:fldChar w:fldCharType="separate"/>
      </w:r>
      <w:r>
        <w:rPr>
          <w:rFonts w:hint="eastAsia"/>
          <w:lang w:val="en-US" w:eastAsia="zh-CN"/>
        </w:rPr>
        <w:t>（二）实施方案基本情况</w:t>
      </w:r>
      <w:r>
        <w:tab/>
      </w:r>
      <w:r>
        <w:fldChar w:fldCharType="begin"/>
      </w:r>
      <w:r>
        <w:instrText xml:space="preserve"> PAGEREF _Toc23062 \h </w:instrText>
      </w:r>
      <w:r>
        <w:fldChar w:fldCharType="separate"/>
      </w:r>
      <w:r>
        <w:t>5</w:t>
      </w:r>
      <w:r>
        <w:fldChar w:fldCharType="end"/>
      </w:r>
      <w:r>
        <w:rPr>
          <w:rFonts w:hint="eastAsia" w:ascii="仿宋" w:hAnsi="仿宋" w:eastAsia="仿宋" w:cs="仿宋"/>
          <w:szCs w:val="28"/>
        </w:rPr>
        <w:fldChar w:fldCharType="end"/>
      </w:r>
    </w:p>
    <w:p w14:paraId="581D74B8">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_Toc14727 </w:instrText>
      </w:r>
      <w:r>
        <w:rPr>
          <w:rFonts w:hint="eastAsia" w:ascii="仿宋" w:hAnsi="仿宋" w:eastAsia="仿宋" w:cs="仿宋"/>
          <w:szCs w:val="28"/>
        </w:rPr>
        <w:fldChar w:fldCharType="separate"/>
      </w:r>
      <w:r>
        <w:rPr>
          <w:rFonts w:hint="eastAsia"/>
          <w:lang w:eastAsia="zh-CN"/>
        </w:rPr>
        <w:t>（三）</w:t>
      </w:r>
      <w:r>
        <w:rPr>
          <w:rFonts w:hint="eastAsia"/>
        </w:rPr>
        <w:t>评估原则</w:t>
      </w:r>
      <w:r>
        <w:rPr>
          <w:rFonts w:hint="eastAsia"/>
          <w:lang w:eastAsia="zh-CN"/>
        </w:rPr>
        <w:t>、方式</w:t>
      </w:r>
      <w:r>
        <w:rPr>
          <w:rFonts w:hint="eastAsia"/>
        </w:rPr>
        <w:t>和方法</w:t>
      </w:r>
      <w:r>
        <w:tab/>
      </w:r>
      <w:r>
        <w:fldChar w:fldCharType="begin"/>
      </w:r>
      <w:r>
        <w:instrText xml:space="preserve"> PAGEREF _Toc14727 \h </w:instrText>
      </w:r>
      <w:r>
        <w:fldChar w:fldCharType="separate"/>
      </w:r>
      <w:r>
        <w:t>6</w:t>
      </w:r>
      <w:r>
        <w:fldChar w:fldCharType="end"/>
      </w:r>
      <w:r>
        <w:rPr>
          <w:rFonts w:hint="eastAsia" w:ascii="仿宋" w:hAnsi="仿宋" w:eastAsia="仿宋" w:cs="仿宋"/>
          <w:szCs w:val="28"/>
        </w:rPr>
        <w:fldChar w:fldCharType="end"/>
      </w:r>
    </w:p>
    <w:p w14:paraId="4C58F6A2">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_Toc15161 </w:instrText>
      </w:r>
      <w:r>
        <w:rPr>
          <w:rFonts w:hint="eastAsia" w:ascii="仿宋" w:hAnsi="仿宋" w:eastAsia="仿宋" w:cs="仿宋"/>
          <w:szCs w:val="28"/>
        </w:rPr>
        <w:fldChar w:fldCharType="separate"/>
      </w:r>
      <w:r>
        <w:rPr>
          <w:rFonts w:hint="eastAsia"/>
          <w:lang w:val="en-US" w:eastAsia="zh-CN"/>
        </w:rPr>
        <w:t>（四）评估内容</w:t>
      </w:r>
      <w:r>
        <w:tab/>
      </w:r>
      <w:r>
        <w:fldChar w:fldCharType="begin"/>
      </w:r>
      <w:r>
        <w:instrText xml:space="preserve"> PAGEREF _Toc15161 \h </w:instrText>
      </w:r>
      <w:r>
        <w:fldChar w:fldCharType="separate"/>
      </w:r>
      <w:r>
        <w:t>6</w:t>
      </w:r>
      <w:r>
        <w:fldChar w:fldCharType="end"/>
      </w:r>
      <w:r>
        <w:rPr>
          <w:rFonts w:hint="eastAsia" w:ascii="仿宋" w:hAnsi="仿宋" w:eastAsia="仿宋" w:cs="仿宋"/>
          <w:szCs w:val="28"/>
        </w:rPr>
        <w:fldChar w:fldCharType="end"/>
      </w:r>
    </w:p>
    <w:p w14:paraId="77EACE0C">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_Toc27159 </w:instrText>
      </w:r>
      <w:r>
        <w:rPr>
          <w:rFonts w:hint="eastAsia" w:ascii="仿宋" w:hAnsi="仿宋" w:eastAsia="仿宋" w:cs="仿宋"/>
          <w:szCs w:val="28"/>
        </w:rPr>
        <w:fldChar w:fldCharType="separate"/>
      </w:r>
      <w:r>
        <w:rPr>
          <w:rFonts w:hint="eastAsia"/>
          <w:lang w:val="en-US" w:eastAsia="zh-CN"/>
        </w:rPr>
        <w:t>（五）</w:t>
      </w:r>
      <w:r>
        <w:rPr>
          <w:rFonts w:hint="eastAsia"/>
        </w:rPr>
        <w:t>评估指标</w:t>
      </w:r>
      <w:r>
        <w:rPr>
          <w:rFonts w:hint="eastAsia"/>
          <w:lang w:eastAsia="zh-CN"/>
        </w:rPr>
        <w:t>与标准</w:t>
      </w:r>
      <w:r>
        <w:tab/>
      </w:r>
      <w:r>
        <w:fldChar w:fldCharType="begin"/>
      </w:r>
      <w:r>
        <w:instrText xml:space="preserve"> PAGEREF _Toc27159 \h </w:instrText>
      </w:r>
      <w:r>
        <w:fldChar w:fldCharType="separate"/>
      </w:r>
      <w:r>
        <w:t>7</w:t>
      </w:r>
      <w:r>
        <w:fldChar w:fldCharType="end"/>
      </w:r>
      <w:r>
        <w:rPr>
          <w:rFonts w:hint="eastAsia" w:ascii="仿宋" w:hAnsi="仿宋" w:eastAsia="仿宋" w:cs="仿宋"/>
          <w:szCs w:val="28"/>
        </w:rPr>
        <w:fldChar w:fldCharType="end"/>
      </w:r>
    </w:p>
    <w:p w14:paraId="30646C48">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_Toc26796 </w:instrText>
      </w:r>
      <w:r>
        <w:rPr>
          <w:rFonts w:hint="eastAsia" w:ascii="仿宋" w:hAnsi="仿宋" w:eastAsia="仿宋" w:cs="仿宋"/>
          <w:szCs w:val="28"/>
        </w:rPr>
        <w:fldChar w:fldCharType="separate"/>
      </w:r>
      <w:r>
        <w:rPr>
          <w:rFonts w:hint="eastAsia"/>
          <w:lang w:eastAsia="zh-CN"/>
        </w:rPr>
        <w:t>（六）评估组人员</w:t>
      </w:r>
      <w:r>
        <w:tab/>
      </w:r>
      <w:r>
        <w:fldChar w:fldCharType="begin"/>
      </w:r>
      <w:r>
        <w:instrText xml:space="preserve"> PAGEREF _Toc26796 \h </w:instrText>
      </w:r>
      <w:r>
        <w:fldChar w:fldCharType="separate"/>
      </w:r>
      <w:r>
        <w:t>7</w:t>
      </w:r>
      <w:r>
        <w:fldChar w:fldCharType="end"/>
      </w:r>
      <w:r>
        <w:rPr>
          <w:rFonts w:hint="eastAsia" w:ascii="仿宋" w:hAnsi="仿宋" w:eastAsia="仿宋" w:cs="仿宋"/>
          <w:szCs w:val="28"/>
        </w:rPr>
        <w:fldChar w:fldCharType="end"/>
      </w:r>
    </w:p>
    <w:p w14:paraId="612E4FCB">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_Toc2251 </w:instrText>
      </w:r>
      <w:r>
        <w:rPr>
          <w:rFonts w:hint="eastAsia" w:ascii="仿宋" w:hAnsi="仿宋" w:eastAsia="仿宋" w:cs="仿宋"/>
          <w:szCs w:val="28"/>
        </w:rPr>
        <w:fldChar w:fldCharType="separate"/>
      </w:r>
      <w:r>
        <w:rPr>
          <w:rFonts w:hint="eastAsia"/>
          <w:lang w:val="en-US" w:eastAsia="zh-CN"/>
        </w:rPr>
        <w:t>（七）评估时间及要求</w:t>
      </w:r>
      <w:r>
        <w:tab/>
      </w:r>
      <w:r>
        <w:fldChar w:fldCharType="begin"/>
      </w:r>
      <w:r>
        <w:instrText xml:space="preserve"> PAGEREF _Toc2251 \h </w:instrText>
      </w:r>
      <w:r>
        <w:fldChar w:fldCharType="separate"/>
      </w:r>
      <w:r>
        <w:t>8</w:t>
      </w:r>
      <w:r>
        <w:fldChar w:fldCharType="end"/>
      </w:r>
      <w:r>
        <w:rPr>
          <w:rFonts w:hint="eastAsia" w:ascii="仿宋" w:hAnsi="仿宋" w:eastAsia="仿宋" w:cs="仿宋"/>
          <w:szCs w:val="28"/>
        </w:rPr>
        <w:fldChar w:fldCharType="end"/>
      </w:r>
    </w:p>
    <w:p w14:paraId="23153C79">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_Toc23685 </w:instrText>
      </w:r>
      <w:r>
        <w:rPr>
          <w:rFonts w:hint="eastAsia" w:ascii="仿宋" w:hAnsi="仿宋" w:eastAsia="仿宋" w:cs="仿宋"/>
          <w:szCs w:val="28"/>
        </w:rPr>
        <w:fldChar w:fldCharType="separate"/>
      </w:r>
      <w:r>
        <w:rPr>
          <w:rFonts w:hint="eastAsia"/>
          <w:lang w:val="en-US" w:eastAsia="zh-CN"/>
        </w:rPr>
        <w:t>（八）评估分析</w:t>
      </w:r>
      <w:r>
        <w:tab/>
      </w:r>
      <w:r>
        <w:fldChar w:fldCharType="begin"/>
      </w:r>
      <w:r>
        <w:instrText xml:space="preserve"> PAGEREF _Toc23685 \h </w:instrText>
      </w:r>
      <w:r>
        <w:fldChar w:fldCharType="separate"/>
      </w:r>
      <w:r>
        <w:t>8</w:t>
      </w:r>
      <w:r>
        <w:fldChar w:fldCharType="end"/>
      </w:r>
      <w:r>
        <w:rPr>
          <w:rFonts w:hint="eastAsia" w:ascii="仿宋" w:hAnsi="仿宋" w:eastAsia="仿宋" w:cs="仿宋"/>
          <w:szCs w:val="28"/>
        </w:rPr>
        <w:fldChar w:fldCharType="end"/>
      </w:r>
    </w:p>
    <w:p w14:paraId="2F030856">
      <w:pPr>
        <w:pStyle w:val="11"/>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_Toc4550 </w:instrText>
      </w:r>
      <w:r>
        <w:rPr>
          <w:rFonts w:hint="eastAsia" w:ascii="仿宋" w:hAnsi="仿宋" w:eastAsia="仿宋" w:cs="仿宋"/>
          <w:szCs w:val="28"/>
        </w:rPr>
        <w:fldChar w:fldCharType="separate"/>
      </w:r>
      <w:r>
        <w:rPr>
          <w:rFonts w:hint="eastAsia"/>
        </w:rPr>
        <w:t>（</w:t>
      </w:r>
      <w:r>
        <w:rPr>
          <w:rFonts w:hint="eastAsia"/>
          <w:lang w:eastAsia="zh-CN"/>
        </w:rPr>
        <w:t>九</w:t>
      </w:r>
      <w:r>
        <w:rPr>
          <w:rFonts w:hint="eastAsia"/>
        </w:rPr>
        <w:t>）评估结论</w:t>
      </w:r>
      <w:r>
        <w:tab/>
      </w:r>
      <w:r>
        <w:fldChar w:fldCharType="begin"/>
      </w:r>
      <w:r>
        <w:instrText xml:space="preserve"> PAGEREF _Toc4550 \h </w:instrText>
      </w:r>
      <w:r>
        <w:fldChar w:fldCharType="separate"/>
      </w:r>
      <w:r>
        <w:t>13</w:t>
      </w:r>
      <w:r>
        <w:fldChar w:fldCharType="end"/>
      </w:r>
      <w:r>
        <w:rPr>
          <w:rFonts w:hint="eastAsia" w:ascii="仿宋" w:hAnsi="仿宋" w:eastAsia="仿宋" w:cs="仿宋"/>
          <w:szCs w:val="28"/>
        </w:rPr>
        <w:fldChar w:fldCharType="end"/>
      </w:r>
    </w:p>
    <w:p w14:paraId="473024CD">
      <w:pPr>
        <w:pStyle w:val="10"/>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_Toc18459 </w:instrText>
      </w:r>
      <w:r>
        <w:rPr>
          <w:rFonts w:hint="eastAsia" w:ascii="仿宋" w:hAnsi="仿宋" w:eastAsia="仿宋" w:cs="仿宋"/>
          <w:szCs w:val="28"/>
        </w:rPr>
        <w:fldChar w:fldCharType="separate"/>
      </w:r>
      <w:r>
        <w:rPr>
          <w:rFonts w:hint="eastAsia"/>
          <w:lang w:eastAsia="zh-CN"/>
        </w:rPr>
        <w:t>三</w:t>
      </w:r>
      <w:r>
        <w:rPr>
          <w:rFonts w:hint="eastAsia"/>
        </w:rPr>
        <w:t>、</w:t>
      </w:r>
      <w:r>
        <w:rPr>
          <w:rFonts w:hint="eastAsia"/>
          <w:lang w:eastAsia="zh-CN"/>
        </w:rPr>
        <w:t>问题与相关</w:t>
      </w:r>
      <w:r>
        <w:rPr>
          <w:rFonts w:hint="eastAsia"/>
        </w:rPr>
        <w:t>建议</w:t>
      </w:r>
      <w:r>
        <w:tab/>
      </w:r>
      <w:r>
        <w:fldChar w:fldCharType="begin"/>
      </w:r>
      <w:r>
        <w:instrText xml:space="preserve"> PAGEREF _Toc18459 \h </w:instrText>
      </w:r>
      <w:r>
        <w:fldChar w:fldCharType="separate"/>
      </w:r>
      <w:r>
        <w:t>13</w:t>
      </w:r>
      <w:r>
        <w:fldChar w:fldCharType="end"/>
      </w:r>
      <w:r>
        <w:rPr>
          <w:rFonts w:hint="eastAsia" w:ascii="仿宋" w:hAnsi="仿宋" w:eastAsia="仿宋" w:cs="仿宋"/>
          <w:szCs w:val="28"/>
        </w:rPr>
        <w:fldChar w:fldCharType="end"/>
      </w:r>
    </w:p>
    <w:p w14:paraId="7CC978E7">
      <w:pPr>
        <w:pStyle w:val="10"/>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_Toc20041 </w:instrText>
      </w:r>
      <w:r>
        <w:rPr>
          <w:rFonts w:hint="eastAsia" w:ascii="仿宋" w:hAnsi="仿宋" w:eastAsia="仿宋" w:cs="仿宋"/>
          <w:szCs w:val="28"/>
        </w:rPr>
        <w:fldChar w:fldCharType="separate"/>
      </w:r>
      <w:r>
        <w:rPr>
          <w:rFonts w:hint="eastAsia"/>
          <w:lang w:eastAsia="zh-CN"/>
        </w:rPr>
        <w:t>四</w:t>
      </w:r>
      <w:r>
        <w:rPr>
          <w:rFonts w:hint="eastAsia"/>
        </w:rPr>
        <w:t>、说明</w:t>
      </w:r>
      <w:r>
        <w:tab/>
      </w:r>
      <w:r>
        <w:fldChar w:fldCharType="begin"/>
      </w:r>
      <w:r>
        <w:instrText xml:space="preserve"> PAGEREF _Toc20041 \h </w:instrText>
      </w:r>
      <w:r>
        <w:fldChar w:fldCharType="separate"/>
      </w:r>
      <w:r>
        <w:t>14</w:t>
      </w:r>
      <w:r>
        <w:fldChar w:fldCharType="end"/>
      </w:r>
      <w:r>
        <w:rPr>
          <w:rFonts w:hint="eastAsia" w:ascii="仿宋" w:hAnsi="仿宋" w:eastAsia="仿宋" w:cs="仿宋"/>
          <w:szCs w:val="28"/>
        </w:rPr>
        <w:fldChar w:fldCharType="end"/>
      </w:r>
    </w:p>
    <w:p w14:paraId="15D48157">
      <w:pPr>
        <w:pStyle w:val="10"/>
        <w:tabs>
          <w:tab w:val="right" w:leader="dot" w:pos="8845"/>
        </w:tabs>
      </w:pPr>
      <w:r>
        <w:rPr>
          <w:rFonts w:hint="eastAsia" w:ascii="仿宋" w:hAnsi="仿宋" w:eastAsia="仿宋" w:cs="仿宋"/>
          <w:szCs w:val="28"/>
        </w:rPr>
        <w:fldChar w:fldCharType="begin"/>
      </w:r>
      <w:r>
        <w:rPr>
          <w:rFonts w:hint="eastAsia" w:ascii="仿宋" w:hAnsi="仿宋" w:eastAsia="仿宋" w:cs="仿宋"/>
          <w:szCs w:val="28"/>
        </w:rPr>
        <w:instrText xml:space="preserve"> HYPERLINK \l _Toc20430 </w:instrText>
      </w:r>
      <w:r>
        <w:rPr>
          <w:rFonts w:hint="eastAsia" w:ascii="仿宋" w:hAnsi="仿宋" w:eastAsia="仿宋" w:cs="仿宋"/>
          <w:szCs w:val="28"/>
        </w:rPr>
        <w:fldChar w:fldCharType="separate"/>
      </w:r>
      <w:r>
        <w:rPr>
          <w:rFonts w:hint="eastAsia"/>
          <w:lang w:eastAsia="zh-CN"/>
        </w:rPr>
        <w:t>五</w:t>
      </w:r>
      <w:r>
        <w:rPr>
          <w:rFonts w:hint="eastAsia"/>
        </w:rPr>
        <w:t>、附件</w:t>
      </w:r>
      <w:r>
        <w:tab/>
      </w:r>
      <w:r>
        <w:fldChar w:fldCharType="begin"/>
      </w:r>
      <w:r>
        <w:instrText xml:space="preserve"> PAGEREF _Toc20430 \h </w:instrText>
      </w:r>
      <w:r>
        <w:fldChar w:fldCharType="separate"/>
      </w:r>
      <w:r>
        <w:t>15</w:t>
      </w:r>
      <w:r>
        <w:fldChar w:fldCharType="end"/>
      </w:r>
      <w:r>
        <w:rPr>
          <w:rFonts w:hint="eastAsia" w:ascii="仿宋" w:hAnsi="仿宋" w:eastAsia="仿宋" w:cs="仿宋"/>
          <w:szCs w:val="28"/>
        </w:rPr>
        <w:fldChar w:fldCharType="end"/>
      </w:r>
    </w:p>
    <w:p w14:paraId="248D99D3">
      <w:pPr>
        <w:pStyle w:val="18"/>
        <w:keepNext w:val="0"/>
        <w:keepLines w:val="0"/>
        <w:pageBreakBefore w:val="0"/>
        <w:widowControl w:val="0"/>
        <w:tabs>
          <w:tab w:val="center" w:pos="8400"/>
        </w:tabs>
        <w:kinsoku/>
        <w:wordWrap/>
        <w:overflowPunct/>
        <w:topLinePunct w:val="0"/>
        <w:autoSpaceDE/>
        <w:autoSpaceDN/>
        <w:bidi w:val="0"/>
        <w:adjustRightInd/>
        <w:snapToGrid w:val="0"/>
        <w:spacing w:beforeAutospacing="0" w:afterAutospacing="0" w:line="400" w:lineRule="exact"/>
        <w:ind w:firstLine="560"/>
        <w:jc w:val="both"/>
        <w:textAlignment w:val="auto"/>
        <w:rPr>
          <w:rFonts w:hint="eastAsia" w:ascii="仿宋" w:hAnsi="仿宋" w:eastAsia="仿宋" w:cs="仿宋"/>
          <w:sz w:val="28"/>
          <w:szCs w:val="28"/>
        </w:rPr>
      </w:pPr>
      <w:r>
        <w:rPr>
          <w:rFonts w:hint="eastAsia" w:ascii="仿宋" w:hAnsi="仿宋" w:eastAsia="仿宋" w:cs="仿宋"/>
          <w:szCs w:val="28"/>
        </w:rPr>
        <w:fldChar w:fldCharType="end"/>
      </w:r>
    </w:p>
    <w:p w14:paraId="60806440">
      <w:pPr>
        <w:keepNext w:val="0"/>
        <w:keepLines w:val="0"/>
        <w:pageBreakBefore w:val="0"/>
        <w:widowControl/>
        <w:kinsoku/>
        <w:wordWrap/>
        <w:overflowPunct/>
        <w:topLinePunct w:val="0"/>
        <w:autoSpaceDE/>
        <w:autoSpaceDN/>
        <w:bidi w:val="0"/>
        <w:adjustRightInd/>
        <w:spacing w:beforeAutospacing="0" w:afterAutospacing="0" w:line="400" w:lineRule="exact"/>
        <w:jc w:val="both"/>
        <w:textAlignment w:val="auto"/>
        <w:rPr>
          <w:rFonts w:hint="eastAsia" w:ascii="仿宋" w:hAnsi="仿宋" w:eastAsia="仿宋" w:cs="仿宋"/>
          <w:sz w:val="28"/>
          <w:szCs w:val="28"/>
        </w:rPr>
        <w:sectPr>
          <w:pgSz w:w="11906" w:h="16838"/>
          <w:pgMar w:top="2098" w:right="1474" w:bottom="1984" w:left="1587" w:header="851" w:footer="992" w:gutter="0"/>
          <w:pgNumType w:fmt="decimal" w:start="1"/>
          <w:cols w:space="720" w:num="1"/>
          <w:rtlGutter w:val="0"/>
          <w:docGrid w:type="linesAndChars" w:linePitch="312" w:charSpace="0"/>
        </w:sectPr>
      </w:pPr>
    </w:p>
    <w:p w14:paraId="110C3FCF">
      <w:pPr>
        <w:pStyle w:val="3"/>
        <w:bidi w:val="0"/>
        <w:jc w:val="center"/>
        <w:rPr>
          <w:rFonts w:hint="eastAsia"/>
          <w:lang w:eastAsia="zh-CN"/>
        </w:rPr>
      </w:pPr>
      <w:bookmarkStart w:id="0" w:name="_Toc17473"/>
      <w:bookmarkStart w:id="1" w:name="_Toc18628"/>
      <w:bookmarkStart w:id="2" w:name="_Toc359"/>
      <w:bookmarkStart w:id="3" w:name="_Toc30373"/>
      <w:bookmarkStart w:id="4" w:name="_Toc510"/>
      <w:bookmarkStart w:id="5" w:name="_Toc5194"/>
      <w:r>
        <w:rPr>
          <w:rFonts w:hint="eastAsia"/>
          <w:lang w:eastAsia="zh-CN"/>
        </w:rPr>
        <w:t>摘 要</w:t>
      </w:r>
      <w:bookmarkEnd w:id="0"/>
      <w:bookmarkEnd w:id="1"/>
      <w:bookmarkEnd w:id="2"/>
      <w:bookmarkEnd w:id="3"/>
      <w:bookmarkEnd w:id="4"/>
      <w:bookmarkEnd w:id="5"/>
    </w:p>
    <w:p w14:paraId="5624E1A6">
      <w:pPr>
        <w:pStyle w:val="18"/>
        <w:tabs>
          <w:tab w:val="center" w:pos="8400"/>
        </w:tabs>
        <w:snapToGrid w:val="0"/>
        <w:spacing w:line="360" w:lineRule="auto"/>
        <w:ind w:firstLine="723"/>
        <w:jc w:val="center"/>
        <w:outlineLvl w:val="9"/>
        <w:rPr>
          <w:rFonts w:hint="eastAsia" w:ascii="楷体" w:hAnsi="楷体" w:eastAsia="楷体" w:cs="楷体"/>
          <w:b/>
          <w:bCs/>
          <w:sz w:val="32"/>
          <w:szCs w:val="32"/>
        </w:rPr>
      </w:pPr>
    </w:p>
    <w:p w14:paraId="39F31D4B">
      <w:pPr>
        <w:snapToGrid w:val="0"/>
        <w:spacing w:line="360" w:lineRule="auto"/>
        <w:ind w:left="1423" w:leftChars="199" w:hanging="787" w:hangingChars="246"/>
        <w:rPr>
          <w:rFonts w:hint="eastAsia" w:ascii="仿宋" w:hAnsi="仿宋" w:eastAsia="仿宋" w:cs="宋体"/>
          <w:b/>
          <w:bCs/>
          <w:color w:val="000000"/>
          <w:sz w:val="32"/>
          <w:szCs w:val="32"/>
          <w:lang w:eastAsia="zh-CN"/>
        </w:rPr>
      </w:pPr>
      <w:r>
        <w:rPr>
          <w:rFonts w:hint="eastAsia" w:ascii="黑体" w:hAnsi="黑体" w:eastAsia="黑体" w:cs="黑体"/>
          <w:b w:val="0"/>
          <w:bCs w:val="0"/>
          <w:sz w:val="32"/>
          <w:szCs w:val="32"/>
        </w:rPr>
        <w:t>项目名称：</w:t>
      </w:r>
      <w:bookmarkStart w:id="6" w:name="_Hlk72855617"/>
      <w:r>
        <w:rPr>
          <w:rFonts w:hint="eastAsia" w:ascii="仿宋" w:hAnsi="仿宋" w:eastAsia="仿宋" w:cs="宋体"/>
          <w:color w:val="000000"/>
          <w:sz w:val="32"/>
          <w:szCs w:val="32"/>
          <w:lang w:eastAsia="zh-CN"/>
        </w:rPr>
        <w:t>宁河区</w:t>
      </w:r>
      <w:bookmarkEnd w:id="6"/>
      <w:r>
        <w:rPr>
          <w:rFonts w:hint="eastAsia" w:ascii="仿宋" w:hAnsi="仿宋" w:eastAsia="仿宋" w:cs="宋体"/>
          <w:color w:val="000000"/>
          <w:sz w:val="32"/>
          <w:szCs w:val="32"/>
          <w:lang w:eastAsia="zh-CN"/>
        </w:rPr>
        <w:t>2023年</w:t>
      </w:r>
      <w:r>
        <w:rPr>
          <w:rFonts w:hint="eastAsia" w:ascii="仿宋" w:hAnsi="仿宋" w:cs="宋体"/>
          <w:color w:val="000000"/>
          <w:sz w:val="32"/>
          <w:szCs w:val="32"/>
          <w:lang w:eastAsia="zh-CN"/>
        </w:rPr>
        <w:t>绿化养管</w:t>
      </w:r>
      <w:r>
        <w:rPr>
          <w:rFonts w:hint="eastAsia" w:ascii="仿宋" w:hAnsi="仿宋" w:eastAsia="仿宋" w:cs="宋体"/>
          <w:color w:val="000000"/>
          <w:sz w:val="32"/>
          <w:szCs w:val="32"/>
          <w:lang w:eastAsia="zh-CN"/>
        </w:rPr>
        <w:t>项目</w:t>
      </w:r>
    </w:p>
    <w:p w14:paraId="6F99865A">
      <w:pPr>
        <w:snapToGrid w:val="0"/>
        <w:spacing w:line="360" w:lineRule="auto"/>
        <w:rPr>
          <w:rFonts w:ascii="Times New Roman" w:hAnsi="Times New Roman" w:eastAsia="仿宋_GB2312" w:cs="Times New Roman"/>
          <w:sz w:val="30"/>
          <w:szCs w:val="30"/>
        </w:rPr>
      </w:pPr>
      <w:r>
        <w:rPr>
          <w:rFonts w:hint="eastAsia" w:ascii="黑体" w:hAnsi="黑体" w:eastAsia="黑体" w:cs="黑体"/>
          <w:b w:val="0"/>
          <w:bCs w:val="0"/>
          <w:sz w:val="32"/>
          <w:szCs w:val="32"/>
        </w:rPr>
        <w:t>预算主管部门：</w:t>
      </w:r>
      <w:r>
        <w:rPr>
          <w:rFonts w:hint="eastAsia" w:ascii="仿宋" w:hAnsi="仿宋" w:eastAsia="仿宋" w:cs="宋体"/>
          <w:color w:val="000000"/>
          <w:sz w:val="32"/>
          <w:szCs w:val="32"/>
          <w:lang w:eastAsia="zh-CN"/>
        </w:rPr>
        <w:t>天津市宁河区政府</w:t>
      </w:r>
    </w:p>
    <w:p w14:paraId="370603B1">
      <w:pPr>
        <w:snapToGrid w:val="0"/>
        <w:spacing w:line="360" w:lineRule="auto"/>
        <w:rPr>
          <w:rFonts w:hint="eastAsia" w:ascii="仿宋" w:hAnsi="仿宋" w:eastAsia="仿宋" w:cs="宋体"/>
          <w:color w:val="000000"/>
          <w:sz w:val="32"/>
          <w:szCs w:val="32"/>
          <w:lang w:eastAsia="zh-CN"/>
        </w:rPr>
      </w:pPr>
      <w:r>
        <w:rPr>
          <w:rFonts w:hint="eastAsia" w:ascii="黑体" w:hAnsi="黑体" w:eastAsia="黑体" w:cs="黑体"/>
          <w:b w:val="0"/>
          <w:bCs w:val="0"/>
          <w:sz w:val="32"/>
          <w:szCs w:val="32"/>
          <w:lang w:eastAsia="zh-CN"/>
        </w:rPr>
        <w:t>项目预算单位：</w:t>
      </w:r>
      <w:r>
        <w:rPr>
          <w:rFonts w:hint="eastAsia" w:ascii="仿宋" w:hAnsi="仿宋" w:eastAsia="仿宋" w:cs="宋体"/>
          <w:color w:val="000000"/>
          <w:sz w:val="32"/>
          <w:szCs w:val="32"/>
          <w:lang w:eastAsia="zh-CN"/>
        </w:rPr>
        <w:t>天津市宁河区</w:t>
      </w:r>
      <w:r>
        <w:rPr>
          <w:rFonts w:hint="eastAsia" w:ascii="仿宋" w:hAnsi="仿宋" w:cs="宋体"/>
          <w:color w:val="000000"/>
          <w:sz w:val="32"/>
          <w:szCs w:val="32"/>
          <w:lang w:eastAsia="zh-CN"/>
        </w:rPr>
        <w:t>林业局</w:t>
      </w:r>
    </w:p>
    <w:p w14:paraId="1EDA2A1D">
      <w:pPr>
        <w:snapToGrid w:val="0"/>
        <w:spacing w:line="360" w:lineRule="auto"/>
        <w:ind w:firstLine="2880" w:firstLineChars="900"/>
        <w:rPr>
          <w:rFonts w:hint="eastAsia" w:ascii="仿宋" w:hAnsi="仿宋" w:eastAsia="仿宋" w:cs="宋体"/>
          <w:color w:val="000000"/>
          <w:sz w:val="32"/>
          <w:szCs w:val="32"/>
          <w:lang w:eastAsia="zh-CN"/>
        </w:rPr>
      </w:pPr>
      <w:r>
        <w:rPr>
          <w:rFonts w:hint="eastAsia" w:ascii="仿宋" w:hAnsi="仿宋" w:cs="宋体"/>
          <w:color w:val="000000"/>
          <w:sz w:val="32"/>
          <w:szCs w:val="32"/>
          <w:lang w:eastAsia="zh-CN"/>
        </w:rPr>
        <w:t>（以下简称预算单位）</w:t>
      </w:r>
    </w:p>
    <w:p w14:paraId="3105C24D">
      <w:pPr>
        <w:snapToGrid w:val="0"/>
        <w:spacing w:line="360" w:lineRule="auto"/>
        <w:rPr>
          <w:rFonts w:hint="eastAsia" w:ascii="Times New Roman" w:hAnsi="Times New Roman" w:eastAsia="仿宋_GB2312" w:cs="Times New Roman"/>
          <w:sz w:val="30"/>
          <w:szCs w:val="30"/>
        </w:rPr>
      </w:pPr>
      <w:r>
        <w:rPr>
          <w:rFonts w:hint="eastAsia" w:ascii="黑体" w:hAnsi="黑体" w:eastAsia="黑体" w:cs="黑体"/>
          <w:b w:val="0"/>
          <w:bCs w:val="0"/>
          <w:sz w:val="32"/>
          <w:szCs w:val="32"/>
        </w:rPr>
        <w:t>项目数：</w:t>
      </w:r>
      <w:r>
        <w:rPr>
          <w:rFonts w:hint="eastAsia" w:ascii="楷体" w:hAnsi="楷体" w:eastAsia="楷体" w:cs="楷体"/>
          <w:sz w:val="30"/>
          <w:szCs w:val="30"/>
        </w:rPr>
        <w:t>1</w:t>
      </w:r>
      <w:r>
        <w:rPr>
          <w:rFonts w:hint="eastAsia" w:ascii="Times New Roman" w:hAnsi="Times New Roman" w:eastAsia="仿宋_GB2312" w:cs="Times New Roman"/>
          <w:sz w:val="30"/>
          <w:szCs w:val="30"/>
        </w:rPr>
        <w:t>个</w:t>
      </w:r>
    </w:p>
    <w:p w14:paraId="77FB1ED9">
      <w:pPr>
        <w:snapToGrid w:val="0"/>
        <w:spacing w:line="360" w:lineRule="auto"/>
        <w:rPr>
          <w:rFonts w:hint="eastAsia" w:ascii="仿宋" w:hAnsi="仿宋" w:cs="宋体"/>
          <w:color w:val="000000"/>
          <w:sz w:val="32"/>
          <w:szCs w:val="32"/>
          <w:highlight w:val="none"/>
          <w:lang w:val="en-US" w:eastAsia="zh-CN"/>
        </w:rPr>
      </w:pPr>
      <w:r>
        <w:rPr>
          <w:rFonts w:hint="eastAsia" w:ascii="黑体" w:hAnsi="黑体" w:eastAsia="黑体" w:cs="黑体"/>
          <w:b w:val="0"/>
          <w:bCs w:val="0"/>
          <w:sz w:val="32"/>
          <w:szCs w:val="32"/>
        </w:rPr>
        <w:t>第三方评估机构：</w:t>
      </w:r>
      <w:r>
        <w:rPr>
          <w:rFonts w:hint="eastAsia"/>
          <w:lang w:val="en-US" w:eastAsia="zh-CN"/>
        </w:rPr>
        <w:t>立信中联会计师事务所（特殊普通合伙）</w:t>
      </w:r>
    </w:p>
    <w:p w14:paraId="32D82112">
      <w:pPr>
        <w:snapToGrid w:val="0"/>
        <w:spacing w:line="360" w:lineRule="auto"/>
        <w:rPr>
          <w:rFonts w:hint="eastAsia" w:ascii="楷体" w:hAnsi="楷体" w:eastAsia="楷体" w:cs="楷体"/>
          <w:sz w:val="32"/>
          <w:szCs w:val="32"/>
          <w:highlight w:val="none"/>
          <w:lang w:val="en-US" w:eastAsia="zh-CN"/>
        </w:rPr>
      </w:pPr>
      <w:r>
        <w:rPr>
          <w:rFonts w:hint="eastAsia" w:ascii="黑体" w:hAnsi="黑体" w:eastAsia="黑体" w:cs="黑体"/>
          <w:b w:val="0"/>
          <w:bCs w:val="0"/>
          <w:sz w:val="32"/>
          <w:szCs w:val="32"/>
          <w:highlight w:val="none"/>
        </w:rPr>
        <w:t>主评人：</w:t>
      </w:r>
      <w:r>
        <w:rPr>
          <w:rFonts w:hint="eastAsia" w:ascii="黑体" w:hAnsi="黑体" w:eastAsia="黑体" w:cs="黑体"/>
          <w:b w:val="0"/>
          <w:bCs w:val="0"/>
          <w:sz w:val="32"/>
          <w:szCs w:val="32"/>
          <w:highlight w:val="none"/>
          <w:lang w:val="en-US" w:eastAsia="zh-CN"/>
        </w:rPr>
        <w:t>赵洋</w:t>
      </w:r>
    </w:p>
    <w:p w14:paraId="29D19B47">
      <w:pPr>
        <w:snapToGrid w:val="0"/>
        <w:spacing w:line="360" w:lineRule="auto"/>
        <w:rPr>
          <w:rFonts w:hint="eastAsia" w:ascii="Times New Roman" w:hAnsi="Times New Roman" w:eastAsia="仿宋_GB2312" w:cs="Times New Roman"/>
          <w:b/>
          <w:bCs/>
          <w:color w:val="0000FF"/>
          <w:sz w:val="30"/>
          <w:szCs w:val="30"/>
        </w:rPr>
      </w:pPr>
    </w:p>
    <w:p w14:paraId="1D5F0D29">
      <w:pPr>
        <w:widowControl/>
        <w:spacing w:beforeAutospacing="1" w:afterAutospacing="1" w:line="360" w:lineRule="auto"/>
        <w:jc w:val="left"/>
        <w:rPr>
          <w:rFonts w:ascii="Times New Roman" w:hAnsi="Times New Roman" w:eastAsia="仿宋_GB2312" w:cs="Times New Roman"/>
          <w:b/>
          <w:bCs/>
          <w:sz w:val="30"/>
          <w:szCs w:val="30"/>
        </w:rPr>
        <w:sectPr>
          <w:footerReference r:id="rId5" w:type="default"/>
          <w:pgSz w:w="11906" w:h="16838"/>
          <w:pgMar w:top="2098" w:right="1474" w:bottom="1984" w:left="1587" w:header="851" w:footer="992" w:gutter="0"/>
          <w:pgNumType w:fmt="decimal" w:start="1"/>
          <w:cols w:space="720" w:num="1"/>
          <w:rtlGutter w:val="0"/>
          <w:docGrid w:type="linesAndChars" w:linePitch="312" w:charSpace="0"/>
        </w:sectPr>
      </w:pPr>
    </w:p>
    <w:p w14:paraId="10B9B82A">
      <w:pPr>
        <w:bidi w:val="0"/>
        <w:rPr>
          <w:rFonts w:hint="eastAsia"/>
        </w:rPr>
      </w:pPr>
      <w:bookmarkStart w:id="7" w:name="_Toc15030"/>
      <w:bookmarkStart w:id="8" w:name="_Toc15989"/>
      <w:bookmarkStart w:id="9" w:name="_Toc15195"/>
      <w:bookmarkStart w:id="10" w:name="_Toc18467"/>
      <w:bookmarkStart w:id="11" w:name="_Toc17532"/>
    </w:p>
    <w:p w14:paraId="3BC64964">
      <w:pPr>
        <w:pStyle w:val="18"/>
        <w:tabs>
          <w:tab w:val="center" w:pos="8400"/>
        </w:tabs>
        <w:snapToGrid w:val="0"/>
        <w:spacing w:line="360" w:lineRule="auto"/>
        <w:ind w:firstLine="723"/>
        <w:jc w:val="center"/>
        <w:outlineLvl w:val="0"/>
        <w:rPr>
          <w:rFonts w:hint="eastAsia" w:ascii="黑体" w:hAnsi="黑体" w:eastAsia="黑体" w:cs="黑体"/>
          <w:b/>
          <w:bCs/>
          <w:sz w:val="32"/>
          <w:szCs w:val="32"/>
        </w:rPr>
      </w:pPr>
      <w:bookmarkStart w:id="12" w:name="_Toc31235"/>
      <w:r>
        <w:rPr>
          <w:rFonts w:hint="eastAsia" w:ascii="黑体" w:hAnsi="黑体" w:eastAsia="黑体" w:cs="黑体"/>
          <w:b/>
          <w:bCs/>
          <w:sz w:val="32"/>
          <w:szCs w:val="32"/>
        </w:rPr>
        <w:t>前 言</w:t>
      </w:r>
      <w:bookmarkEnd w:id="7"/>
      <w:bookmarkEnd w:id="8"/>
      <w:bookmarkEnd w:id="9"/>
      <w:bookmarkEnd w:id="10"/>
      <w:bookmarkEnd w:id="11"/>
      <w:bookmarkEnd w:id="12"/>
    </w:p>
    <w:p w14:paraId="7CC3F739">
      <w:pPr>
        <w:bidi w:val="0"/>
        <w:ind w:left="0" w:leftChars="0" w:firstLine="640" w:firstLineChars="200"/>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为全面实施预算绩效管理，从源头上提高财政资源配效益，提升行政决策的科学性，加强</w:t>
      </w:r>
      <w:r>
        <w:rPr>
          <w:rFonts w:hint="default" w:ascii="Times New Roman" w:hAnsi="Times New Roman" w:eastAsia="仿宋_GB2312" w:cs="Times New Roman"/>
          <w:color w:val="000000"/>
          <w:sz w:val="32"/>
          <w:szCs w:val="32"/>
          <w:lang w:eastAsia="zh-CN"/>
        </w:rPr>
        <w:t>天津市宁河区林业局</w:t>
      </w:r>
      <w:r>
        <w:rPr>
          <w:rFonts w:hint="default" w:ascii="Times New Roman" w:hAnsi="Times New Roman" w:eastAsia="仿宋_GB2312" w:cs="Times New Roman"/>
          <w:lang w:val="en-US" w:eastAsia="zh-CN"/>
        </w:rPr>
        <w:t>对本项目支出绩效管理，提高财政资金使效益，充分发挥财政资金的支持作用，受天津市宁河财政局的委托，立信中联会计师事务所（特殊普通合伙）（以下简称立信中联）对“宁河区</w:t>
      </w:r>
      <w:r>
        <w:rPr>
          <w:rFonts w:hint="default" w:ascii="Times New Roman" w:hAnsi="Times New Roman" w:eastAsia="仿宋_GB2312" w:cs="Times New Roman"/>
          <w:color w:val="000000"/>
          <w:sz w:val="32"/>
          <w:szCs w:val="32"/>
          <w:lang w:eastAsia="zh-CN"/>
        </w:rPr>
        <w:t>2023年绿化养管项目</w:t>
      </w:r>
      <w:r>
        <w:rPr>
          <w:rFonts w:hint="default" w:ascii="Times New Roman" w:hAnsi="Times New Roman" w:eastAsia="仿宋_GB2312" w:cs="Times New Roman"/>
          <w:lang w:val="en-US" w:eastAsia="zh-CN"/>
        </w:rPr>
        <w:t>”（以下简称“本项目”）开展事前绩效评估。</w:t>
      </w:r>
    </w:p>
    <w:p w14:paraId="2E059547">
      <w:pPr>
        <w:pStyle w:val="3"/>
        <w:numPr>
          <w:ilvl w:val="0"/>
          <w:numId w:val="1"/>
        </w:numPr>
        <w:bidi w:val="0"/>
        <w:rPr>
          <w:rFonts w:hint="eastAsia"/>
        </w:rPr>
      </w:pPr>
      <w:bookmarkStart w:id="13" w:name="_Toc11457"/>
      <w:bookmarkStart w:id="14" w:name="_Toc11483"/>
      <w:bookmarkStart w:id="15" w:name="_Toc12224"/>
      <w:bookmarkStart w:id="16" w:name="_Toc22875"/>
      <w:bookmarkStart w:id="17" w:name="_Toc32511"/>
      <w:bookmarkStart w:id="18" w:name="_Toc15718"/>
      <w:r>
        <w:rPr>
          <w:rFonts w:hint="eastAsia"/>
        </w:rPr>
        <w:t>项目概况</w:t>
      </w:r>
      <w:bookmarkEnd w:id="13"/>
      <w:bookmarkEnd w:id="14"/>
      <w:bookmarkEnd w:id="15"/>
      <w:bookmarkEnd w:id="16"/>
      <w:bookmarkEnd w:id="17"/>
      <w:bookmarkEnd w:id="18"/>
    </w:p>
    <w:p w14:paraId="4DED5CC9">
      <w:pPr>
        <w:pStyle w:val="4"/>
        <w:bidi w:val="0"/>
        <w:rPr>
          <w:rFonts w:hint="eastAsia"/>
        </w:rPr>
      </w:pPr>
      <w:bookmarkStart w:id="19" w:name="_Toc28049"/>
      <w:bookmarkStart w:id="20" w:name="_Toc4889"/>
      <w:bookmarkStart w:id="21" w:name="_Toc21923"/>
      <w:r>
        <w:rPr>
          <w:rFonts w:hint="eastAsia"/>
          <w:lang w:val="en-US" w:eastAsia="zh-CN"/>
        </w:rPr>
        <w:t>（一）项目立项基本情况</w:t>
      </w:r>
      <w:bookmarkEnd w:id="19"/>
      <w:bookmarkEnd w:id="20"/>
      <w:bookmarkEnd w:id="21"/>
    </w:p>
    <w:p w14:paraId="5CAC8080">
      <w:pPr>
        <w:pStyle w:val="5"/>
        <w:bidi w:val="0"/>
        <w:rPr>
          <w:rFonts w:hint="eastAsia"/>
        </w:rPr>
      </w:pPr>
      <w:bookmarkStart w:id="22" w:name="_Toc17514"/>
      <w:bookmarkStart w:id="23" w:name="_Toc5819"/>
      <w:bookmarkStart w:id="24" w:name="_Toc19543"/>
      <w:bookmarkStart w:id="25" w:name="_Toc10338"/>
      <w:bookmarkStart w:id="26" w:name="_Toc19623"/>
      <w:bookmarkStart w:id="27" w:name="_Toc9119"/>
      <w:r>
        <w:rPr>
          <w:rFonts w:hint="eastAsia"/>
          <w:lang w:val="en-US" w:eastAsia="zh-CN"/>
        </w:rPr>
        <w:t>1.</w:t>
      </w:r>
      <w:r>
        <w:rPr>
          <w:rFonts w:hint="eastAsia"/>
        </w:rPr>
        <w:t>项目立项背景</w:t>
      </w:r>
      <w:bookmarkEnd w:id="22"/>
      <w:bookmarkEnd w:id="23"/>
      <w:bookmarkEnd w:id="24"/>
      <w:bookmarkEnd w:id="25"/>
      <w:bookmarkEnd w:id="26"/>
      <w:bookmarkEnd w:id="27"/>
    </w:p>
    <w:p w14:paraId="69CB1C88">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为了确保经济社会可持续发展，落实“既要金山银山，更要绿水青山”的明确理念，各级政府作出了“生态立乡、绿色发展”的战略决策，大力培育和保护森林资源，加快林业生态建设步伐，坚定不移地走资源节约型、环境友好型的发展之路。党和国家对生态环境保护做出重要指示，要求保护生态环境，建设生态环境。抓好乡镇、农村基础设施的绿化工作，全面建设“绿色生态乡村”功在当代，利在干秋。</w:t>
      </w:r>
    </w:p>
    <w:p w14:paraId="7BE9E559">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实施造林绿化工程，将进一步巩固绿化成果，提高绿化水平，加快恢复、保护和建设青山绿水步伐，创造良好的人居环境。实现生态与经济双赢，是建设绿色生态农村的目标。</w:t>
      </w:r>
    </w:p>
    <w:p w14:paraId="5A59999C">
      <w:pPr>
        <w:pStyle w:val="12"/>
        <w:keepNext w:val="0"/>
        <w:keepLines w:val="0"/>
        <w:widowControl/>
        <w:suppressLineNumbers w:val="0"/>
        <w:spacing w:before="0" w:beforeAutospacing="0" w:after="0" w:afterAutospacing="0"/>
        <w:ind w:left="0" w:right="0" w:firstLine="0"/>
      </w:pPr>
    </w:p>
    <w:p w14:paraId="55503412">
      <w:pPr>
        <w:pStyle w:val="5"/>
        <w:numPr>
          <w:ilvl w:val="0"/>
          <w:numId w:val="0"/>
        </w:numPr>
        <w:bidi w:val="0"/>
        <w:ind w:leftChars="200"/>
        <w:rPr>
          <w:rFonts w:hint="eastAsia"/>
        </w:rPr>
      </w:pPr>
      <w:bookmarkStart w:id="28" w:name="_Toc17742"/>
      <w:bookmarkStart w:id="29" w:name="_Toc7066"/>
      <w:bookmarkStart w:id="30" w:name="_Toc4370"/>
      <w:bookmarkStart w:id="31" w:name="_Toc3535"/>
      <w:bookmarkStart w:id="32" w:name="_Toc28350"/>
      <w:bookmarkStart w:id="33" w:name="_Toc26366"/>
      <w:bookmarkStart w:id="34" w:name="_Toc2621"/>
      <w:r>
        <w:rPr>
          <w:rFonts w:hint="eastAsia"/>
          <w:lang w:val="en-US" w:eastAsia="zh-CN"/>
        </w:rPr>
        <w:t>2.</w:t>
      </w:r>
      <w:r>
        <w:rPr>
          <w:rFonts w:hint="eastAsia"/>
        </w:rPr>
        <w:t>项目立项依据</w:t>
      </w:r>
      <w:bookmarkEnd w:id="28"/>
      <w:bookmarkEnd w:id="29"/>
      <w:bookmarkEnd w:id="30"/>
      <w:bookmarkEnd w:id="31"/>
      <w:bookmarkEnd w:id="32"/>
      <w:bookmarkEnd w:id="33"/>
      <w:bookmarkEnd w:id="34"/>
    </w:p>
    <w:p w14:paraId="39A35DC9">
      <w:pPr>
        <w:bidi w:val="0"/>
        <w:ind w:left="0" w:leftChars="0" w:firstLine="640" w:firstLineChars="200"/>
        <w:rPr>
          <w:rFonts w:hint="eastAsia" w:ascii="Times New Roman" w:hAnsi="Times New Roman" w:eastAsia="仿宋_GB2312" w:cs="Times New Roman"/>
          <w:lang w:val="en-US" w:eastAsia="zh-CN"/>
        </w:rPr>
      </w:pPr>
      <w:bookmarkStart w:id="35" w:name="_Toc25117"/>
      <w:bookmarkStart w:id="36" w:name="_Toc29796"/>
      <w:bookmarkStart w:id="37" w:name="_Toc27069"/>
      <w:r>
        <w:rPr>
          <w:rFonts w:hint="eastAsia" w:ascii="Times New Roman" w:hAnsi="Times New Roman" w:eastAsia="仿宋_GB2312" w:cs="Times New Roman"/>
          <w:lang w:val="en-US" w:eastAsia="zh-CN"/>
        </w:rPr>
        <w:t>区长会议纪要（2022年12月30日）和区政府批复文件。</w:t>
      </w:r>
    </w:p>
    <w:p w14:paraId="0D52A475">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会议原则同意开展宁河区2022-2023年度绿化养管项目事宜（以下简称“绿化养管项目”）。由区林业局、区财政局、碧景天成绿化公司负责，将每年绿化养管项目政府采购方式由一年一次调整为三年一次，做好所需资金测算、调整和审核，并高标准组织开展林木养护工作。区林业局要精心谋划林业资源利用，因地制宜发展林下经济、露营旅游等业态，做好林业资源包装发债融资等工作，不断拓展收入来源。</w:t>
      </w:r>
    </w:p>
    <w:p w14:paraId="43E31758">
      <w:pPr>
        <w:pStyle w:val="5"/>
        <w:numPr>
          <w:ilvl w:val="0"/>
          <w:numId w:val="0"/>
        </w:numPr>
        <w:bidi w:val="0"/>
        <w:ind w:leftChars="200"/>
        <w:rPr>
          <w:rFonts w:hint="eastAsia"/>
        </w:rPr>
      </w:pPr>
      <w:bookmarkStart w:id="38" w:name="_Toc24442"/>
      <w:bookmarkStart w:id="39" w:name="_Toc16247"/>
      <w:bookmarkStart w:id="40" w:name="_Toc30279"/>
      <w:bookmarkStart w:id="41" w:name="_Toc16895"/>
      <w:r>
        <w:rPr>
          <w:rFonts w:hint="eastAsia"/>
          <w:lang w:val="en-US" w:eastAsia="zh-CN"/>
        </w:rPr>
        <w:t>3.</w:t>
      </w:r>
      <w:r>
        <w:rPr>
          <w:rFonts w:hint="eastAsia"/>
        </w:rPr>
        <w:t>项目内容</w:t>
      </w:r>
      <w:bookmarkEnd w:id="38"/>
      <w:bookmarkEnd w:id="39"/>
      <w:bookmarkEnd w:id="40"/>
      <w:bookmarkEnd w:id="41"/>
      <w:r>
        <w:rPr>
          <w:rFonts w:hint="eastAsia"/>
          <w:lang w:eastAsia="zh-CN"/>
        </w:rPr>
        <w:tab/>
      </w:r>
    </w:p>
    <w:p w14:paraId="2D9FF52F">
      <w:pPr>
        <w:bidi w:val="0"/>
        <w:ind w:left="0" w:leftChars="0" w:firstLine="640" w:firstLineChars="200"/>
        <w:rPr>
          <w:rFonts w:hint="eastAsia" w:ascii="Times New Roman" w:hAnsi="Times New Roman" w:eastAsia="仿宋_GB2312" w:cs="Times New Roman"/>
          <w:lang w:val="en-US" w:eastAsia="zh-CN"/>
        </w:rPr>
      </w:pPr>
      <w:bookmarkStart w:id="42" w:name="_Toc21458"/>
      <w:bookmarkStart w:id="43" w:name="_Toc30157"/>
      <w:r>
        <w:rPr>
          <w:rFonts w:hint="eastAsia" w:ascii="Times New Roman" w:hAnsi="Times New Roman" w:eastAsia="仿宋_GB2312" w:cs="Times New Roman"/>
          <w:lang w:val="en-US" w:eastAsia="zh-CN"/>
        </w:rPr>
        <w:t>该项目共分为宁河区高速林带养护项目，养护范围主要包括京津塘二线、津蓟高速、滨保高速、津宁高速、塘承高速公路（七里海镇段和东棘坨镇段）等；宁河区景观带养护项目，范围主要包括海清公路中间隔离带及两侧绿化带、津宁高速芦台西出口、塘承高速东棘坨出口等；宁河区七里海周边绿化养护项目范围主要包括七里海国家湿地公园沿线（公园东侧）、七里海大道南侧公园段落、七里海国家湿地公园沿线（公园西侧）、七里海大堤潮白河河东（三角泵站）、七里海东堤景观带、七里海裸地复绿段、七里海景观河等；宁河区生态林养护项目，实施范围主要包括任凤片林、兴坨片林、大坨片林等。</w:t>
      </w:r>
    </w:p>
    <w:p w14:paraId="68EB1B7D">
      <w:pPr>
        <w:pStyle w:val="4"/>
        <w:bidi w:val="0"/>
        <w:rPr>
          <w:rFonts w:hint="default"/>
          <w:lang w:val="en-US" w:eastAsia="zh-CN"/>
        </w:rPr>
      </w:pPr>
      <w:bookmarkStart w:id="44" w:name="_Toc14800"/>
      <w:r>
        <w:rPr>
          <w:rFonts w:hint="eastAsia"/>
          <w:lang w:val="en-US" w:eastAsia="zh-CN"/>
        </w:rPr>
        <w:t>（二）项目投入基本情况</w:t>
      </w:r>
      <w:bookmarkEnd w:id="42"/>
      <w:bookmarkEnd w:id="43"/>
      <w:bookmarkEnd w:id="44"/>
    </w:p>
    <w:p w14:paraId="597C7059">
      <w:pPr>
        <w:bidi w:val="0"/>
        <w:ind w:left="0" w:leftChars="0" w:firstLine="640" w:firstLineChars="200"/>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本项目拟定投资资金6765</w:t>
      </w:r>
      <w:r>
        <w:rPr>
          <w:rFonts w:hint="eastAsia" w:ascii="Times New Roman" w:hAnsi="Times New Roman" w:eastAsia="仿宋_GB2312" w:cs="Times New Roman"/>
          <w:lang w:val="en-US" w:eastAsia="zh-CN"/>
        </w:rPr>
        <w:t>.0017</w:t>
      </w:r>
      <w:r>
        <w:rPr>
          <w:rFonts w:hint="default" w:ascii="Times New Roman" w:hAnsi="Times New Roman" w:eastAsia="仿宋_GB2312" w:cs="Times New Roman"/>
          <w:lang w:val="en-US" w:eastAsia="zh-CN"/>
        </w:rPr>
        <w:t>万元，2023年拟投入2300万元养护等运维管理。</w:t>
      </w:r>
    </w:p>
    <w:p w14:paraId="49038C7C">
      <w:pPr>
        <w:pStyle w:val="4"/>
        <w:bidi w:val="0"/>
        <w:rPr>
          <w:rFonts w:hint="default"/>
          <w:lang w:val="en-US" w:eastAsia="zh-CN"/>
        </w:rPr>
      </w:pPr>
      <w:bookmarkStart w:id="45" w:name="_Toc22445"/>
      <w:bookmarkStart w:id="46" w:name="_Toc11566"/>
      <w:bookmarkStart w:id="47" w:name="_Toc12126"/>
      <w:r>
        <w:rPr>
          <w:rFonts w:hint="eastAsia"/>
          <w:lang w:val="en-US" w:eastAsia="zh-CN"/>
        </w:rPr>
        <w:t>（三）绩效目标基本情况</w:t>
      </w:r>
      <w:bookmarkEnd w:id="45"/>
      <w:bookmarkEnd w:id="46"/>
      <w:bookmarkEnd w:id="47"/>
    </w:p>
    <w:p w14:paraId="407F68DE">
      <w:pPr>
        <w:bidi w:val="0"/>
        <w:ind w:left="0" w:leftChars="0" w:firstLine="640" w:firstLineChars="200"/>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本项目的《项目支出绩效目标申报表（2023）年度》由预算单位提供。（见附件）</w:t>
      </w:r>
    </w:p>
    <w:bookmarkEnd w:id="35"/>
    <w:bookmarkEnd w:id="36"/>
    <w:bookmarkEnd w:id="37"/>
    <w:p w14:paraId="40DA5A9E">
      <w:pPr>
        <w:pStyle w:val="4"/>
        <w:bidi w:val="0"/>
        <w:rPr>
          <w:rFonts w:hint="eastAsia"/>
        </w:rPr>
      </w:pPr>
      <w:bookmarkStart w:id="48" w:name="_Toc12548"/>
      <w:bookmarkStart w:id="49" w:name="_Toc16092"/>
      <w:bookmarkStart w:id="50" w:name="_Toc13413"/>
      <w:r>
        <w:rPr>
          <w:rFonts w:hint="eastAsia"/>
          <w:lang w:eastAsia="zh-CN"/>
        </w:rPr>
        <w:t>（</w:t>
      </w:r>
      <w:r>
        <w:rPr>
          <w:rFonts w:hint="eastAsia"/>
          <w:lang w:val="en-US" w:eastAsia="zh-CN"/>
        </w:rPr>
        <w:t>四</w:t>
      </w:r>
      <w:r>
        <w:rPr>
          <w:rFonts w:hint="eastAsia"/>
          <w:lang w:eastAsia="zh-CN"/>
        </w:rPr>
        <w:t>）</w:t>
      </w:r>
      <w:bookmarkStart w:id="51" w:name="_Toc31476"/>
      <w:bookmarkStart w:id="52" w:name="_Toc8812"/>
      <w:bookmarkStart w:id="53" w:name="_Toc24045"/>
      <w:r>
        <w:rPr>
          <w:rFonts w:hint="eastAsia"/>
          <w:lang w:eastAsia="zh-CN"/>
        </w:rPr>
        <w:t>项目</w:t>
      </w:r>
      <w:r>
        <w:rPr>
          <w:rFonts w:hint="eastAsia"/>
          <w:lang w:val="en-US" w:eastAsia="zh-CN"/>
        </w:rPr>
        <w:t>筹资基本情况</w:t>
      </w:r>
      <w:bookmarkEnd w:id="48"/>
      <w:bookmarkEnd w:id="49"/>
      <w:bookmarkEnd w:id="50"/>
      <w:bookmarkEnd w:id="51"/>
      <w:bookmarkEnd w:id="52"/>
      <w:bookmarkEnd w:id="53"/>
      <w:bookmarkStart w:id="195" w:name="_GoBack"/>
      <w:bookmarkEnd w:id="195"/>
    </w:p>
    <w:p w14:paraId="6E26ED00">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项目分四个标段，第一个标段为宁河区高速林带养护项目，采购预算为1308.9226万元；第二标段为宁河区景观带养护项目，采购预算为1205.7586万元；第三标段为宁河区七里海周边绿化养护项目，采购预算为2406.0889万元；第四标段宁河区生态林养护项目，采购预算为1844.2316万元，以上招标控制价共计6765.0017万元，以审核后的控制价将作为本次政府采购招标费用控制上限。</w:t>
      </w:r>
    </w:p>
    <w:p w14:paraId="0624E52F">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本项目拟定投资资金6765.0017万元（3年），平均每年约2255万元，2023年预算金额2300万元。资金来源为财政预算资金（一般公共预算），属于公共财政支持范围。</w:t>
      </w:r>
    </w:p>
    <w:p w14:paraId="28D8CE7D">
      <w:pPr>
        <w:pStyle w:val="3"/>
        <w:bidi w:val="0"/>
        <w:rPr>
          <w:rFonts w:hint="eastAsia"/>
          <w:lang w:val="en-US" w:eastAsia="zh-CN"/>
        </w:rPr>
      </w:pPr>
      <w:bookmarkStart w:id="54" w:name="_Toc6254"/>
      <w:bookmarkStart w:id="55" w:name="_Toc4578"/>
      <w:bookmarkStart w:id="56" w:name="_Toc11959"/>
      <w:r>
        <w:rPr>
          <w:rFonts w:hint="eastAsia"/>
          <w:lang w:val="en-US" w:eastAsia="zh-CN"/>
        </w:rPr>
        <w:t>二、事前绩效评估工作情况</w:t>
      </w:r>
      <w:bookmarkEnd w:id="54"/>
      <w:bookmarkEnd w:id="55"/>
      <w:bookmarkEnd w:id="56"/>
    </w:p>
    <w:p w14:paraId="02EB2838">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我们接受宁河区财政局的委托，对本项目进行事前绩效评估。我们根据各层级绩效管理文件的精神与规定，进行了事前评估准备，与各相关方进行面对面访谈，对项目资料进行了大量的分析与计算，并制定评估方案，组织实施评估工作。</w:t>
      </w:r>
    </w:p>
    <w:p w14:paraId="5464EB12">
      <w:pPr>
        <w:pStyle w:val="4"/>
        <w:bidi w:val="0"/>
        <w:rPr>
          <w:rFonts w:hint="eastAsia"/>
          <w:lang w:eastAsia="zh-CN"/>
        </w:rPr>
      </w:pPr>
      <w:bookmarkStart w:id="57" w:name="_Toc26011"/>
      <w:bookmarkStart w:id="58" w:name="_Toc12429"/>
      <w:bookmarkStart w:id="59" w:name="_Toc30846"/>
      <w:bookmarkStart w:id="60" w:name="_Toc14882"/>
      <w:bookmarkStart w:id="61" w:name="_Toc10762"/>
      <w:r>
        <w:rPr>
          <w:rFonts w:hint="eastAsia"/>
          <w:lang w:eastAsia="zh-CN"/>
        </w:rPr>
        <w:t>（一）</w:t>
      </w:r>
      <w:r>
        <w:rPr>
          <w:rFonts w:hint="eastAsia"/>
        </w:rPr>
        <w:t>事前绩效评估依据</w:t>
      </w:r>
      <w:bookmarkEnd w:id="57"/>
      <w:bookmarkEnd w:id="58"/>
      <w:r>
        <w:rPr>
          <w:rFonts w:hint="eastAsia"/>
          <w:lang w:eastAsia="zh-CN"/>
        </w:rPr>
        <w:t>和目的</w:t>
      </w:r>
      <w:bookmarkEnd w:id="59"/>
      <w:bookmarkEnd w:id="60"/>
      <w:bookmarkEnd w:id="61"/>
    </w:p>
    <w:p w14:paraId="61491284">
      <w:pPr>
        <w:pStyle w:val="5"/>
        <w:bidi w:val="0"/>
        <w:rPr>
          <w:rFonts w:hint="eastAsia" w:eastAsia="黑体"/>
          <w:lang w:val="en-US" w:eastAsia="zh-CN"/>
        </w:rPr>
      </w:pPr>
      <w:bookmarkStart w:id="62" w:name="_Toc30179"/>
      <w:bookmarkStart w:id="63" w:name="_Toc3268"/>
      <w:bookmarkStart w:id="64" w:name="_Toc20892"/>
      <w:bookmarkStart w:id="65" w:name="_Toc23253"/>
      <w:bookmarkStart w:id="66" w:name="_Toc3464"/>
      <w:bookmarkStart w:id="67" w:name="_Toc30510"/>
      <w:r>
        <w:rPr>
          <w:rFonts w:hint="eastAsia"/>
          <w:lang w:val="en-US" w:eastAsia="zh-CN"/>
        </w:rPr>
        <w:t>1.</w:t>
      </w:r>
      <w:r>
        <w:rPr>
          <w:rFonts w:hint="eastAsia"/>
          <w:lang w:eastAsia="zh-CN"/>
        </w:rPr>
        <w:t>依据的相关</w:t>
      </w:r>
      <w:r>
        <w:rPr>
          <w:rFonts w:hint="eastAsia"/>
        </w:rPr>
        <w:t>文件</w:t>
      </w:r>
      <w:bookmarkEnd w:id="62"/>
      <w:bookmarkEnd w:id="63"/>
      <w:bookmarkEnd w:id="64"/>
      <w:bookmarkEnd w:id="65"/>
      <w:bookmarkEnd w:id="66"/>
      <w:bookmarkEnd w:id="67"/>
    </w:p>
    <w:p w14:paraId="3C065387">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（1）《中华人民共和国预算法》、《中华人民共和国预算法实施条例》；</w:t>
      </w:r>
    </w:p>
    <w:p w14:paraId="3F62470F">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（2）《关于委托第三方机构参与预算绩效管理的指导意见》（财预〔2021〕6号）；</w:t>
      </w:r>
    </w:p>
    <w:p w14:paraId="256640F5">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（3）《中共天津市委 天津市人民政府印发〈关于全面推进预算绩效管理的实施方案〉的通知》（津党发〔2019〕25号）；</w:t>
      </w:r>
    </w:p>
    <w:p w14:paraId="1EB6F8B1">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（4）《天津市市级财政支出事前绩效评估管理暂行办法》（津财绩效〔2020〕19号）；</w:t>
      </w:r>
    </w:p>
    <w:p w14:paraId="3945CD2E">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（5）《天津市市级重点造林绿化工程管理办法》（津林营</w:t>
      </w:r>
      <w:r>
        <w:rPr>
          <w:rFonts w:hint="default" w:ascii="Times New Roman" w:hAnsi="Times New Roman" w:eastAsia="仿宋_GB2312" w:cs="Times New Roman"/>
          <w:lang w:val="en-US" w:eastAsia="zh-CN"/>
        </w:rPr>
        <w:t>〔</w:t>
      </w:r>
      <w:r>
        <w:rPr>
          <w:rFonts w:hint="eastAsia" w:ascii="Times New Roman" w:hAnsi="Times New Roman" w:eastAsia="仿宋_GB2312" w:cs="Times New Roman"/>
          <w:lang w:val="en-US" w:eastAsia="zh-CN"/>
        </w:rPr>
        <w:t>2018〕24号）。</w:t>
      </w:r>
    </w:p>
    <w:p w14:paraId="64B9A6B4">
      <w:pPr>
        <w:pStyle w:val="5"/>
        <w:numPr>
          <w:ilvl w:val="0"/>
          <w:numId w:val="0"/>
        </w:numPr>
        <w:bidi w:val="0"/>
        <w:ind w:leftChars="200"/>
        <w:rPr>
          <w:rFonts w:hint="eastAsia"/>
          <w:lang w:val="en-US" w:eastAsia="zh-CN"/>
        </w:rPr>
      </w:pPr>
      <w:bookmarkStart w:id="68" w:name="_Toc17856"/>
      <w:bookmarkStart w:id="69" w:name="_Toc28074"/>
      <w:bookmarkStart w:id="70" w:name="_Toc13064"/>
      <w:bookmarkStart w:id="71" w:name="_Toc15476"/>
      <w:r>
        <w:rPr>
          <w:rFonts w:hint="eastAsia"/>
          <w:lang w:val="en-US" w:eastAsia="zh-CN"/>
        </w:rPr>
        <w:t>2.评估目的</w:t>
      </w:r>
      <w:bookmarkEnd w:id="68"/>
      <w:bookmarkEnd w:id="69"/>
      <w:bookmarkEnd w:id="70"/>
      <w:bookmarkEnd w:id="71"/>
    </w:p>
    <w:p w14:paraId="5EF2E442">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本次事前绩效评估目的是：评估项目是否应设立、项目投入是否具有绩效性，从源头防控财政资源配置的低效无效，优化财政资源配置，提高预算决策的科学性。</w:t>
      </w:r>
    </w:p>
    <w:p w14:paraId="3ECEA866">
      <w:pPr>
        <w:pStyle w:val="4"/>
        <w:bidi w:val="0"/>
        <w:rPr>
          <w:rFonts w:hint="eastAsia"/>
          <w:lang w:val="en-US" w:eastAsia="zh-CN"/>
        </w:rPr>
      </w:pPr>
      <w:bookmarkStart w:id="72" w:name="_Toc26275"/>
      <w:bookmarkStart w:id="73" w:name="_Toc22895"/>
      <w:bookmarkStart w:id="74" w:name="_Toc23062"/>
      <w:bookmarkStart w:id="75" w:name="_Toc3629"/>
      <w:bookmarkStart w:id="76" w:name="_Toc24371"/>
      <w:bookmarkStart w:id="77" w:name="_Toc26383"/>
      <w:bookmarkStart w:id="78" w:name="_Toc32596"/>
      <w:r>
        <w:rPr>
          <w:rFonts w:hint="eastAsia"/>
          <w:lang w:val="en-US" w:eastAsia="zh-CN"/>
        </w:rPr>
        <w:t>（二）实施方案基本情况</w:t>
      </w:r>
      <w:bookmarkEnd w:id="72"/>
      <w:bookmarkEnd w:id="73"/>
      <w:bookmarkEnd w:id="74"/>
    </w:p>
    <w:p w14:paraId="20BD9C47">
      <w:pPr>
        <w:pStyle w:val="5"/>
        <w:numPr>
          <w:ilvl w:val="0"/>
          <w:numId w:val="0"/>
        </w:numPr>
        <w:bidi w:val="0"/>
        <w:ind w:leftChars="200"/>
        <w:rPr>
          <w:rFonts w:hint="eastAsia"/>
        </w:rPr>
      </w:pPr>
      <w:bookmarkStart w:id="79" w:name="_Toc25586"/>
      <w:bookmarkStart w:id="80" w:name="_Toc5602"/>
      <w:bookmarkStart w:id="81" w:name="_Toc6259"/>
      <w:bookmarkStart w:id="82" w:name="_Toc18373"/>
      <w:bookmarkStart w:id="83" w:name="_Toc28570"/>
      <w:bookmarkStart w:id="84" w:name="_Toc19755"/>
      <w:r>
        <w:rPr>
          <w:rFonts w:hint="eastAsia"/>
          <w:lang w:val="en-US" w:eastAsia="zh-CN"/>
        </w:rPr>
        <w:t>1</w:t>
      </w:r>
      <w:r>
        <w:rPr>
          <w:rFonts w:hint="eastAsia"/>
          <w:lang w:eastAsia="zh-CN"/>
        </w:rPr>
        <w:t>.</w:t>
      </w:r>
      <w:r>
        <w:rPr>
          <w:rFonts w:hint="eastAsia"/>
        </w:rPr>
        <w:t>项目组织与管理</w:t>
      </w:r>
      <w:bookmarkEnd w:id="79"/>
      <w:bookmarkEnd w:id="80"/>
      <w:bookmarkEnd w:id="81"/>
      <w:bookmarkEnd w:id="82"/>
      <w:bookmarkEnd w:id="83"/>
      <w:bookmarkEnd w:id="84"/>
    </w:p>
    <w:p w14:paraId="6A0D0D0D">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本项目由</w:t>
      </w:r>
      <w:r>
        <w:rPr>
          <w:rFonts w:hint="default" w:ascii="Times New Roman" w:hAnsi="Times New Roman" w:eastAsia="仿宋_GB2312" w:cs="Times New Roman"/>
          <w:lang w:val="en-US" w:eastAsia="zh-CN"/>
        </w:rPr>
        <w:fldChar w:fldCharType="begin"/>
      </w:r>
      <w:r>
        <w:rPr>
          <w:rFonts w:hint="default" w:ascii="Times New Roman" w:hAnsi="Times New Roman" w:eastAsia="仿宋_GB2312" w:cs="Times New Roman"/>
          <w:lang w:val="en-US" w:eastAsia="zh-CN"/>
        </w:rPr>
        <w:instrText xml:space="preserve"> HYPERLINK "https://www.so.com/link?m=btA4cpTTcjEJvH5gnATtrzhrwhYr/cKPYwVOxRW6abtlEsij87M6qgsr63PsDfzvKvdywHRiIb1Vtj1LKHRyfGVr5GYOPLqUvwUfNbMRYEEhi1FSxPbEYyR8BvNMTFHeVuSy82DpeJZSJpmlRHBK+zX/GYGNSdd3pVDDh/ixhOBNlVUagQd3+iqWKvJYjZ9c5" \t "https://www.so.com/_blank" </w:instrText>
      </w:r>
      <w:r>
        <w:rPr>
          <w:rFonts w:hint="default" w:ascii="Times New Roman" w:hAnsi="Times New Roman" w:eastAsia="仿宋_GB2312" w:cs="Times New Roman"/>
          <w:lang w:val="en-US" w:eastAsia="zh-CN"/>
        </w:rPr>
        <w:fldChar w:fldCharType="separate"/>
      </w:r>
      <w:r>
        <w:rPr>
          <w:rFonts w:hint="eastAsia" w:ascii="Times New Roman" w:hAnsi="Times New Roman" w:eastAsia="仿宋_GB2312" w:cs="Times New Roman"/>
          <w:lang w:val="en-US" w:eastAsia="zh-CN"/>
        </w:rPr>
        <w:t>宁河区林业局等</w:t>
      </w:r>
      <w:r>
        <w:rPr>
          <w:rFonts w:hint="default" w:ascii="Times New Roman" w:hAnsi="Times New Roman" w:eastAsia="仿宋_GB2312" w:cs="Times New Roman"/>
          <w:lang w:val="en-US" w:eastAsia="zh-CN"/>
        </w:rPr>
        <w:fldChar w:fldCharType="end"/>
      </w:r>
      <w:r>
        <w:rPr>
          <w:rFonts w:hint="eastAsia" w:ascii="Times New Roman" w:hAnsi="Times New Roman" w:eastAsia="仿宋_GB2312" w:cs="Times New Roman"/>
          <w:lang w:val="en-US" w:eastAsia="zh-CN"/>
        </w:rPr>
        <w:t>负责牵头，组织并管理本项目的运维等服务工作。通过招投标程序确定项目的供应商。</w:t>
      </w:r>
    </w:p>
    <w:p w14:paraId="08286402">
      <w:pPr>
        <w:pStyle w:val="5"/>
        <w:numPr>
          <w:ilvl w:val="0"/>
          <w:numId w:val="0"/>
        </w:numPr>
        <w:bidi w:val="0"/>
        <w:ind w:leftChars="200"/>
        <w:rPr>
          <w:rFonts w:hint="eastAsia"/>
        </w:rPr>
      </w:pPr>
      <w:bookmarkStart w:id="85" w:name="_Toc15901"/>
      <w:bookmarkStart w:id="86" w:name="_Toc4079"/>
      <w:bookmarkStart w:id="87" w:name="_Toc13253"/>
      <w:bookmarkStart w:id="88" w:name="_Toc25315"/>
      <w:bookmarkStart w:id="89" w:name="_Toc18524"/>
      <w:bookmarkStart w:id="90" w:name="_Toc8724"/>
      <w:r>
        <w:rPr>
          <w:rFonts w:hint="eastAsia"/>
          <w:lang w:val="en-US" w:eastAsia="zh-CN"/>
        </w:rPr>
        <w:t>2.</w:t>
      </w:r>
      <w:r>
        <w:rPr>
          <w:rFonts w:hint="eastAsia"/>
        </w:rPr>
        <w:t>项目实施模式</w:t>
      </w:r>
      <w:bookmarkEnd w:id="85"/>
      <w:bookmarkEnd w:id="86"/>
      <w:bookmarkEnd w:id="87"/>
      <w:bookmarkEnd w:id="88"/>
      <w:bookmarkEnd w:id="89"/>
      <w:bookmarkEnd w:id="90"/>
    </w:p>
    <w:p w14:paraId="56C7B9A3">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本项目拟定合同期为3年，在实施期内，由养护服务商负责项目养护，确保公用林木质量合格、数量满足规定、绿化效果达到规定的目标。</w:t>
      </w:r>
      <w:r>
        <w:rPr>
          <w:rFonts w:hint="default" w:ascii="Times New Roman" w:hAnsi="Times New Roman" w:eastAsia="仿宋_GB2312" w:cs="Times New Roman"/>
          <w:lang w:val="en-US" w:eastAsia="zh-CN"/>
        </w:rPr>
        <w:fldChar w:fldCharType="begin"/>
      </w:r>
      <w:r>
        <w:rPr>
          <w:rFonts w:hint="default" w:ascii="Times New Roman" w:hAnsi="Times New Roman" w:eastAsia="仿宋_GB2312" w:cs="Times New Roman"/>
          <w:lang w:val="en-US" w:eastAsia="zh-CN"/>
        </w:rPr>
        <w:instrText xml:space="preserve"> HYPERLINK "https://www.so.com/link?m=btA4cpTTcjEJvH5gnATtrzhrwhYr/cKPYwVOxRW6abtlEsij87M6qgsr63PsDfzvKvdywHRiIb1Vtj1LKHRyfGVr5GYOPLqUvwUfNbMRYEEhi1FSxPbEYyR8BvNMTFHeVuSy82DpeJZSJpmlRHBK+zX/GYGNSdd3pVDDh/ixhOBNlVUagQd3+iqWKvJYjZ9c5" \t "https://www.so.com/_blank" </w:instrText>
      </w:r>
      <w:r>
        <w:rPr>
          <w:rFonts w:hint="default" w:ascii="Times New Roman" w:hAnsi="Times New Roman" w:eastAsia="仿宋_GB2312" w:cs="Times New Roman"/>
          <w:lang w:val="en-US" w:eastAsia="zh-CN"/>
        </w:rPr>
        <w:fldChar w:fldCharType="separate"/>
      </w:r>
      <w:r>
        <w:rPr>
          <w:rFonts w:hint="eastAsia" w:ascii="Times New Roman" w:hAnsi="Times New Roman" w:eastAsia="仿宋_GB2312" w:cs="Times New Roman"/>
          <w:lang w:val="en-US" w:eastAsia="zh-CN"/>
        </w:rPr>
        <w:t>宁河区林业局</w:t>
      </w:r>
      <w:r>
        <w:rPr>
          <w:rFonts w:hint="default" w:ascii="Times New Roman" w:hAnsi="Times New Roman" w:eastAsia="仿宋_GB2312" w:cs="Times New Roman"/>
          <w:lang w:val="en-US" w:eastAsia="zh-CN"/>
        </w:rPr>
        <w:fldChar w:fldCharType="end"/>
      </w:r>
      <w:r>
        <w:rPr>
          <w:rFonts w:hint="eastAsia" w:ascii="Times New Roman" w:hAnsi="Times New Roman" w:eastAsia="仿宋_GB2312" w:cs="Times New Roman"/>
          <w:lang w:val="en-US" w:eastAsia="zh-CN"/>
        </w:rPr>
        <w:t>负责监督管理，并建立固定资产管理制度。</w:t>
      </w:r>
    </w:p>
    <w:p w14:paraId="62C5E2D4">
      <w:pPr>
        <w:pStyle w:val="5"/>
        <w:numPr>
          <w:ilvl w:val="0"/>
          <w:numId w:val="0"/>
        </w:numPr>
        <w:bidi w:val="0"/>
        <w:ind w:leftChars="200"/>
        <w:rPr>
          <w:rFonts w:hint="eastAsia"/>
        </w:rPr>
      </w:pPr>
      <w:bookmarkStart w:id="91" w:name="_Toc12546"/>
      <w:bookmarkStart w:id="92" w:name="_Toc8847"/>
      <w:bookmarkStart w:id="93" w:name="_Toc9498"/>
      <w:r>
        <w:rPr>
          <w:rFonts w:hint="eastAsia"/>
          <w:lang w:val="en-US" w:eastAsia="zh-CN"/>
        </w:rPr>
        <w:t>3.</w:t>
      </w:r>
      <w:r>
        <w:rPr>
          <w:rFonts w:hint="eastAsia"/>
        </w:rPr>
        <w:t>项目实施流程</w:t>
      </w:r>
      <w:bookmarkEnd w:id="91"/>
      <w:bookmarkEnd w:id="92"/>
      <w:bookmarkEnd w:id="93"/>
    </w:p>
    <w:p w14:paraId="63415B12">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本项目由</w:t>
      </w:r>
      <w:r>
        <w:rPr>
          <w:rFonts w:hint="default" w:ascii="Times New Roman" w:hAnsi="Times New Roman" w:eastAsia="仿宋_GB2312" w:cs="Times New Roman"/>
          <w:lang w:val="en-US" w:eastAsia="zh-CN"/>
        </w:rPr>
        <w:fldChar w:fldCharType="begin"/>
      </w:r>
      <w:r>
        <w:rPr>
          <w:rFonts w:hint="default" w:ascii="Times New Roman" w:hAnsi="Times New Roman" w:eastAsia="仿宋_GB2312" w:cs="Times New Roman"/>
          <w:lang w:val="en-US" w:eastAsia="zh-CN"/>
        </w:rPr>
        <w:instrText xml:space="preserve"> HYPERLINK "https://www.so.com/link?m=btA4cpTTcjEJvH5gnATtrzhrwhYr/cKPYwVOxRW6abtlEsij87M6qgsr63PsDfzvKvdywHRiIb1Vtj1LKHRyfGVr5GYOPLqUvwUfNbMRYEEhi1FSxPbEYyR8BvNMTFHeVuSy82DpeJZSJpmlRHBK+zX/GYGNSdd3pVDDh/ixhOBNlVUagQd3+iqWKvJYjZ9c5" \t "https://www.so.com/_blank" </w:instrText>
      </w:r>
      <w:r>
        <w:rPr>
          <w:rFonts w:hint="default" w:ascii="Times New Roman" w:hAnsi="Times New Roman" w:eastAsia="仿宋_GB2312" w:cs="Times New Roman"/>
          <w:lang w:val="en-US" w:eastAsia="zh-CN"/>
        </w:rPr>
        <w:fldChar w:fldCharType="separate"/>
      </w:r>
      <w:r>
        <w:rPr>
          <w:rFonts w:hint="eastAsia" w:ascii="Times New Roman" w:hAnsi="Times New Roman" w:eastAsia="仿宋_GB2312" w:cs="Times New Roman"/>
          <w:lang w:val="en-US" w:eastAsia="zh-CN"/>
        </w:rPr>
        <w:t>宁河区林业局</w:t>
      </w:r>
      <w:r>
        <w:rPr>
          <w:rFonts w:hint="default" w:ascii="Times New Roman" w:hAnsi="Times New Roman" w:eastAsia="仿宋_GB2312" w:cs="Times New Roman"/>
          <w:lang w:val="en-US" w:eastAsia="zh-CN"/>
        </w:rPr>
        <w:fldChar w:fldCharType="end"/>
      </w:r>
      <w:r>
        <w:rPr>
          <w:rFonts w:hint="eastAsia" w:ascii="Times New Roman" w:hAnsi="Times New Roman" w:eastAsia="仿宋_GB2312" w:cs="Times New Roman"/>
          <w:lang w:val="en-US" w:eastAsia="zh-CN"/>
        </w:rPr>
        <w:t>对本项目进行可行性论证，制定项目实施方案，明确项目的必要性、项目实施内容，编制本项目资金预算并提交区财政局审核。财政局委托第三方进行事前绩效评估，审核通过后，由</w:t>
      </w:r>
      <w:r>
        <w:rPr>
          <w:rFonts w:hint="default" w:ascii="Times New Roman" w:hAnsi="Times New Roman" w:eastAsia="仿宋_GB2312" w:cs="Times New Roman"/>
          <w:lang w:val="en-US" w:eastAsia="zh-CN"/>
        </w:rPr>
        <w:fldChar w:fldCharType="begin"/>
      </w:r>
      <w:r>
        <w:rPr>
          <w:rFonts w:hint="default" w:ascii="Times New Roman" w:hAnsi="Times New Roman" w:eastAsia="仿宋_GB2312" w:cs="Times New Roman"/>
          <w:lang w:val="en-US" w:eastAsia="zh-CN"/>
        </w:rPr>
        <w:instrText xml:space="preserve"> HYPERLINK "https://www.so.com/link?m=btA4cpTTcjEJvH5gnATtrzhrwhYr/cKPYwVOxRW6abtlEsij87M6qgsr63PsDfzvKvdywHRiIb1Vtj1LKHRyfGVr5GYOPLqUvwUfNbMRYEEhi1FSxPbEYyR8BvNMTFHeVuSy82DpeJZSJpmlRHBK+zX/GYGNSdd3pVDDh/ixhOBNlVUagQd3+iqWKvJYjZ9c5" \t "https://www.so.com/_blank" </w:instrText>
      </w:r>
      <w:r>
        <w:rPr>
          <w:rFonts w:hint="default" w:ascii="Times New Roman" w:hAnsi="Times New Roman" w:eastAsia="仿宋_GB2312" w:cs="Times New Roman"/>
          <w:lang w:val="en-US" w:eastAsia="zh-CN"/>
        </w:rPr>
        <w:fldChar w:fldCharType="separate"/>
      </w:r>
      <w:r>
        <w:rPr>
          <w:rFonts w:hint="eastAsia" w:ascii="Times New Roman" w:hAnsi="Times New Roman" w:eastAsia="仿宋_GB2312" w:cs="Times New Roman"/>
          <w:lang w:val="en-US" w:eastAsia="zh-CN"/>
        </w:rPr>
        <w:t>宁河区林业局</w:t>
      </w:r>
      <w:r>
        <w:rPr>
          <w:rFonts w:hint="default" w:ascii="Times New Roman" w:hAnsi="Times New Roman" w:eastAsia="仿宋_GB2312" w:cs="Times New Roman"/>
          <w:lang w:val="en-US" w:eastAsia="zh-CN"/>
        </w:rPr>
        <w:fldChar w:fldCharType="end"/>
      </w:r>
      <w:r>
        <w:rPr>
          <w:rFonts w:hint="eastAsia" w:ascii="Times New Roman" w:hAnsi="Times New Roman" w:eastAsia="仿宋_GB2312" w:cs="Times New Roman"/>
          <w:lang w:val="en-US" w:eastAsia="zh-CN"/>
        </w:rPr>
        <w:t>组织政府采购程序，确定运维供应商。</w:t>
      </w:r>
    </w:p>
    <w:p w14:paraId="2759BF4B">
      <w:pPr>
        <w:pStyle w:val="4"/>
        <w:numPr>
          <w:ilvl w:val="0"/>
          <w:numId w:val="0"/>
        </w:numPr>
        <w:bidi w:val="0"/>
        <w:ind w:leftChars="200"/>
        <w:rPr>
          <w:rFonts w:hint="eastAsia"/>
        </w:rPr>
      </w:pPr>
      <w:bookmarkStart w:id="94" w:name="_Toc14727"/>
      <w:r>
        <w:rPr>
          <w:rFonts w:hint="eastAsia"/>
          <w:lang w:eastAsia="zh-CN"/>
        </w:rPr>
        <w:t>（三）</w:t>
      </w:r>
      <w:r>
        <w:rPr>
          <w:rFonts w:hint="eastAsia"/>
        </w:rPr>
        <w:t>评估原则</w:t>
      </w:r>
      <w:r>
        <w:rPr>
          <w:rFonts w:hint="eastAsia"/>
          <w:lang w:eastAsia="zh-CN"/>
        </w:rPr>
        <w:t>、方式</w:t>
      </w:r>
      <w:r>
        <w:rPr>
          <w:rFonts w:hint="eastAsia"/>
        </w:rPr>
        <w:t>和方法</w:t>
      </w:r>
      <w:bookmarkEnd w:id="75"/>
      <w:bookmarkEnd w:id="76"/>
      <w:bookmarkEnd w:id="77"/>
      <w:bookmarkEnd w:id="78"/>
      <w:bookmarkEnd w:id="94"/>
    </w:p>
    <w:p w14:paraId="27C09548">
      <w:pPr>
        <w:pStyle w:val="5"/>
        <w:numPr>
          <w:ilvl w:val="0"/>
          <w:numId w:val="0"/>
        </w:numPr>
        <w:bidi w:val="0"/>
        <w:ind w:leftChars="200"/>
        <w:rPr>
          <w:rFonts w:hint="eastAsia"/>
        </w:rPr>
      </w:pPr>
      <w:bookmarkStart w:id="95" w:name="_Toc19785"/>
      <w:bookmarkStart w:id="96" w:name="_Toc22564"/>
      <w:bookmarkStart w:id="97" w:name="_Toc30801"/>
      <w:bookmarkStart w:id="98" w:name="_Toc30892"/>
      <w:bookmarkStart w:id="99" w:name="_Toc32606"/>
      <w:bookmarkStart w:id="100" w:name="_Toc29592"/>
      <w:r>
        <w:rPr>
          <w:rFonts w:hint="eastAsia"/>
          <w:lang w:val="en-US" w:eastAsia="zh-CN"/>
        </w:rPr>
        <w:t>1.</w:t>
      </w:r>
      <w:r>
        <w:rPr>
          <w:rFonts w:hint="eastAsia"/>
        </w:rPr>
        <w:t>评估原则</w:t>
      </w:r>
      <w:bookmarkEnd w:id="95"/>
      <w:bookmarkEnd w:id="96"/>
      <w:bookmarkEnd w:id="97"/>
      <w:bookmarkEnd w:id="98"/>
      <w:bookmarkEnd w:id="99"/>
      <w:bookmarkEnd w:id="100"/>
    </w:p>
    <w:p w14:paraId="361A5480">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本次评估坚持依法依规、绩效导向、科学规范、客观公正的原则。</w:t>
      </w:r>
    </w:p>
    <w:p w14:paraId="1896524C">
      <w:pPr>
        <w:pStyle w:val="5"/>
        <w:numPr>
          <w:ilvl w:val="0"/>
          <w:numId w:val="0"/>
        </w:numPr>
        <w:bidi w:val="0"/>
        <w:ind w:leftChars="200"/>
        <w:rPr>
          <w:rFonts w:hint="eastAsia"/>
          <w:lang w:eastAsia="zh-CN"/>
        </w:rPr>
      </w:pPr>
      <w:bookmarkStart w:id="101" w:name="_Toc4683"/>
      <w:bookmarkStart w:id="102" w:name="_Toc988"/>
      <w:bookmarkStart w:id="103" w:name="_Toc20665"/>
      <w:bookmarkStart w:id="104" w:name="_Toc29963"/>
      <w:bookmarkStart w:id="105" w:name="_Toc28267"/>
      <w:bookmarkStart w:id="106" w:name="_Toc7617"/>
      <w:r>
        <w:rPr>
          <w:rFonts w:hint="eastAsia"/>
          <w:lang w:val="en-US" w:eastAsia="zh-CN"/>
        </w:rPr>
        <w:t>2.</w:t>
      </w:r>
      <w:r>
        <w:rPr>
          <w:rFonts w:hint="eastAsia"/>
        </w:rPr>
        <w:t>评估方</w:t>
      </w:r>
      <w:bookmarkEnd w:id="101"/>
      <w:bookmarkEnd w:id="102"/>
      <w:r>
        <w:rPr>
          <w:rFonts w:hint="eastAsia"/>
          <w:lang w:eastAsia="zh-CN"/>
        </w:rPr>
        <w:t>式</w:t>
      </w:r>
      <w:bookmarkEnd w:id="103"/>
      <w:bookmarkEnd w:id="104"/>
      <w:bookmarkEnd w:id="105"/>
      <w:bookmarkEnd w:id="106"/>
    </w:p>
    <w:p w14:paraId="117CAE6F">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本次评估采取论证评审、现场调研、咨询座谈的方式。</w:t>
      </w:r>
    </w:p>
    <w:p w14:paraId="6FA7B66E">
      <w:pPr>
        <w:pStyle w:val="5"/>
        <w:numPr>
          <w:ilvl w:val="0"/>
          <w:numId w:val="0"/>
        </w:numPr>
        <w:bidi w:val="0"/>
        <w:ind w:leftChars="200"/>
        <w:rPr>
          <w:rFonts w:hint="eastAsia"/>
        </w:rPr>
      </w:pPr>
      <w:bookmarkStart w:id="107" w:name="_Toc2627"/>
      <w:bookmarkStart w:id="108" w:name="_Toc11230"/>
      <w:bookmarkStart w:id="109" w:name="_Toc22144"/>
      <w:bookmarkStart w:id="110" w:name="_Toc17027"/>
      <w:r>
        <w:rPr>
          <w:rFonts w:hint="eastAsia"/>
          <w:lang w:val="en-US" w:eastAsia="zh-CN"/>
        </w:rPr>
        <w:t>3.</w:t>
      </w:r>
      <w:r>
        <w:rPr>
          <w:rFonts w:hint="eastAsia"/>
        </w:rPr>
        <w:t>评估方法</w:t>
      </w:r>
      <w:bookmarkEnd w:id="107"/>
      <w:bookmarkEnd w:id="108"/>
      <w:bookmarkEnd w:id="109"/>
      <w:bookmarkEnd w:id="110"/>
    </w:p>
    <w:p w14:paraId="7F4F2EE9">
      <w:pPr>
        <w:bidi w:val="0"/>
        <w:ind w:left="0" w:leftChars="0" w:firstLine="640" w:firstLineChars="20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本次评估采用的主要方法是成本效益分析法、对比分析法和综合分析法。</w:t>
      </w:r>
    </w:p>
    <w:p w14:paraId="558A82E6">
      <w:pPr>
        <w:pStyle w:val="4"/>
        <w:bidi w:val="0"/>
        <w:rPr>
          <w:rFonts w:hint="eastAsia"/>
          <w:lang w:val="en-US" w:eastAsia="zh-CN"/>
        </w:rPr>
      </w:pPr>
      <w:bookmarkStart w:id="111" w:name="_Toc15161"/>
      <w:bookmarkStart w:id="112" w:name="_Toc26962"/>
      <w:bookmarkStart w:id="113" w:name="_Toc31775"/>
      <w:r>
        <w:rPr>
          <w:rFonts w:hint="eastAsia"/>
          <w:lang w:val="en-US" w:eastAsia="zh-CN"/>
        </w:rPr>
        <w:t>（四）评估内容</w:t>
      </w:r>
      <w:bookmarkEnd w:id="111"/>
      <w:bookmarkEnd w:id="112"/>
      <w:bookmarkEnd w:id="113"/>
    </w:p>
    <w:p w14:paraId="4B425DD1">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次事前应评估内容为项目立项的必要性、投入经济性、绩效目标合理性、实施方案可行性、筹资合规性；结合本项目的特点，我们在以上评估内容的基础上，就本次项目支出预算资金的测算，并结合绩效管理制度的健全性及适当性进行了综合评估。</w:t>
      </w:r>
    </w:p>
    <w:p w14:paraId="420EA8EF">
      <w:pPr>
        <w:pStyle w:val="4"/>
        <w:bidi w:val="0"/>
        <w:rPr>
          <w:rFonts w:hint="eastAsia"/>
          <w:lang w:eastAsia="zh-CN"/>
        </w:rPr>
      </w:pPr>
      <w:bookmarkStart w:id="114" w:name="_Toc28792"/>
      <w:bookmarkStart w:id="115" w:name="_Toc6351"/>
      <w:bookmarkStart w:id="116" w:name="_Toc20313"/>
      <w:bookmarkStart w:id="117" w:name="_Toc889"/>
      <w:bookmarkStart w:id="118" w:name="_Toc27159"/>
      <w:r>
        <w:rPr>
          <w:rFonts w:hint="eastAsia"/>
          <w:lang w:val="en-US" w:eastAsia="zh-CN"/>
        </w:rPr>
        <w:t>（五）</w:t>
      </w:r>
      <w:r>
        <w:rPr>
          <w:rFonts w:hint="eastAsia"/>
        </w:rPr>
        <w:t>评估指标</w:t>
      </w:r>
      <w:bookmarkEnd w:id="114"/>
      <w:bookmarkEnd w:id="115"/>
      <w:r>
        <w:rPr>
          <w:rFonts w:hint="eastAsia"/>
          <w:lang w:eastAsia="zh-CN"/>
        </w:rPr>
        <w:t>与标准</w:t>
      </w:r>
      <w:bookmarkEnd w:id="116"/>
      <w:bookmarkEnd w:id="117"/>
      <w:bookmarkEnd w:id="118"/>
    </w:p>
    <w:p w14:paraId="5320D398">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次事前评估指标体系按照逻辑分析法设计，包括项目立项必要性、项目投入经济性、绩效目标合理性、实施方案有效性、筹资合规性五类指标，主要围绕资金申报、项目管理、资源配置等方面，客观分析项目的投入与产出效果，进而提出完善意见。围绕指标设置制定评估标准。整个评估框架构成体现从项目决策、投入与产出效果结合，绩效目标与绩效管理有机结合的绩效逻辑路径。</w:t>
      </w:r>
    </w:p>
    <w:p w14:paraId="55A6C265">
      <w:pPr>
        <w:bidi w:val="0"/>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指标体系为评分所用，需要基础表和访谈的支持。为确保评估工作的客观性和科学性，在数据复核过程中发现的预算单位提供的数据与相关资料有差异的，项目组将做进一步深入调查，如涉及专业性数据请行业专家给出专业意见。对本项目主管部门和相关单位的相关工作人员进行访谈，获取与本项目相关的信息，作为制定评估指标与标准的依据之一。</w:t>
      </w:r>
    </w:p>
    <w:p w14:paraId="54B9EBED">
      <w:pPr>
        <w:pStyle w:val="4"/>
        <w:bidi w:val="0"/>
        <w:rPr>
          <w:rFonts w:hint="eastAsia"/>
          <w:lang w:eastAsia="zh-CN"/>
        </w:rPr>
      </w:pPr>
      <w:bookmarkStart w:id="119" w:name="_Toc24828"/>
      <w:bookmarkStart w:id="120" w:name="_Toc26796"/>
      <w:bookmarkStart w:id="121" w:name="_Toc3909"/>
      <w:r>
        <w:rPr>
          <w:rFonts w:hint="eastAsia"/>
          <w:lang w:eastAsia="zh-CN"/>
        </w:rPr>
        <w:t>（六）评估组人员</w:t>
      </w:r>
      <w:bookmarkEnd w:id="119"/>
      <w:bookmarkEnd w:id="120"/>
      <w:bookmarkEnd w:id="121"/>
    </w:p>
    <w:p w14:paraId="4C890186">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主评人：赵洋（注册会计师、注册资产评估师、注册税务师）、李金祥（注册会计师）；助评人：许云虎（注册会计师、注册资产评估师、注册税务师）、贾斌（注册会计师）、孙力（注册会计师、注册税务师）、刘海珍（中级）、张鹏飞、李颖、刘燕、党婧、张雪竹、刘思然、陈梦蕾；质量复核人：党婧；总审师：张鹏飞。</w:t>
      </w:r>
    </w:p>
    <w:p w14:paraId="717AAC90">
      <w:pPr>
        <w:pStyle w:val="4"/>
        <w:bidi w:val="0"/>
        <w:rPr>
          <w:rFonts w:hint="eastAsia"/>
          <w:lang w:val="en-US" w:eastAsia="zh-CN"/>
        </w:rPr>
      </w:pPr>
      <w:bookmarkStart w:id="122" w:name="_Toc2251"/>
      <w:bookmarkStart w:id="123" w:name="_Toc28404"/>
      <w:bookmarkStart w:id="124" w:name="_Toc10182"/>
      <w:r>
        <w:rPr>
          <w:rFonts w:hint="eastAsia"/>
          <w:lang w:val="en-US" w:eastAsia="zh-CN"/>
        </w:rPr>
        <w:t>（七）评估时间及要求</w:t>
      </w:r>
      <w:bookmarkEnd w:id="122"/>
      <w:bookmarkEnd w:id="123"/>
      <w:bookmarkEnd w:id="124"/>
    </w:p>
    <w:p w14:paraId="6530E4BF">
      <w:pPr>
        <w:bidi w:val="0"/>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项目自2022年11月12日接受委托之日起，至2022年11月26日，项目组完成前期评估准备、评估实施、出具报告等全部工作；质量控制贯穿整个评估过程，并要求资料留存归档。本次评估时间紧任务重，项目组配备5名注册会计师，以保证高质量完成本次评估工作。</w:t>
      </w:r>
    </w:p>
    <w:p w14:paraId="347FFD81">
      <w:pPr>
        <w:pStyle w:val="4"/>
        <w:bidi w:val="0"/>
        <w:rPr>
          <w:rFonts w:hint="eastAsia"/>
          <w:lang w:val="en-US" w:eastAsia="zh-CN"/>
        </w:rPr>
      </w:pPr>
      <w:bookmarkStart w:id="125" w:name="_Toc25486"/>
      <w:bookmarkStart w:id="126" w:name="_Toc19696"/>
      <w:bookmarkStart w:id="127" w:name="_Toc29577"/>
      <w:bookmarkStart w:id="128" w:name="_Toc23685"/>
      <w:bookmarkStart w:id="129" w:name="_Toc27102"/>
      <w:bookmarkStart w:id="130" w:name="_Toc1609"/>
      <w:r>
        <w:rPr>
          <w:rFonts w:hint="eastAsia"/>
          <w:lang w:val="en-US" w:eastAsia="zh-CN"/>
        </w:rPr>
        <w:t>（八）评估</w:t>
      </w:r>
      <w:bookmarkEnd w:id="125"/>
      <w:bookmarkEnd w:id="126"/>
      <w:bookmarkEnd w:id="127"/>
      <w:r>
        <w:rPr>
          <w:rFonts w:hint="eastAsia"/>
          <w:lang w:val="en-US" w:eastAsia="zh-CN"/>
        </w:rPr>
        <w:t>分析</w:t>
      </w:r>
      <w:bookmarkEnd w:id="128"/>
      <w:bookmarkEnd w:id="129"/>
      <w:bookmarkEnd w:id="130"/>
    </w:p>
    <w:p w14:paraId="2B7E4C70">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评估组通过对项目立项必要性、投入的经济性、项目实施方案可行性、绩效目标合理性和筹资合规性等方面做了综合评估。</w:t>
      </w:r>
    </w:p>
    <w:p w14:paraId="2A55FE7D">
      <w:pPr>
        <w:pStyle w:val="5"/>
        <w:numPr>
          <w:ilvl w:val="0"/>
          <w:numId w:val="0"/>
        </w:numPr>
        <w:bidi w:val="0"/>
        <w:ind w:leftChars="200"/>
        <w:rPr>
          <w:rFonts w:hint="eastAsia"/>
        </w:rPr>
      </w:pPr>
      <w:bookmarkStart w:id="131" w:name="_Toc30259"/>
      <w:bookmarkStart w:id="132" w:name="_Toc8091"/>
      <w:bookmarkStart w:id="133" w:name="_Toc24170"/>
      <w:bookmarkStart w:id="134" w:name="_Toc28168"/>
      <w:r>
        <w:rPr>
          <w:rFonts w:hint="eastAsia"/>
          <w:lang w:val="en-US" w:eastAsia="zh-CN"/>
        </w:rPr>
        <w:t>1.</w:t>
      </w:r>
      <w:r>
        <w:rPr>
          <w:rFonts w:hint="eastAsia"/>
        </w:rPr>
        <w:t>立项必要性</w:t>
      </w:r>
      <w:bookmarkEnd w:id="131"/>
      <w:bookmarkEnd w:id="132"/>
      <w:bookmarkEnd w:id="133"/>
      <w:bookmarkEnd w:id="134"/>
    </w:p>
    <w:p w14:paraId="47495E6A">
      <w:pPr>
        <w:bidi w:val="0"/>
        <w:rPr>
          <w:rFonts w:hint="eastAsia" w:ascii="Times New Roman" w:hAnsi="Times New Roman" w:eastAsia="仿宋_GB2312" w:cs="Times New Roman"/>
          <w:lang w:val="en-US" w:eastAsia="zh-CN"/>
        </w:rPr>
      </w:pPr>
      <w:bookmarkStart w:id="135" w:name="_Toc28224"/>
      <w:bookmarkStart w:id="136" w:name="_Toc30295"/>
      <w:bookmarkStart w:id="137" w:name="_Toc6432"/>
      <w:bookmarkStart w:id="138" w:name="_Toc4387"/>
      <w:bookmarkStart w:id="139" w:name="_Toc25102"/>
      <w:r>
        <w:rPr>
          <w:rFonts w:hint="eastAsia" w:ascii="Times New Roman" w:hAnsi="Times New Roman" w:eastAsia="仿宋_GB2312" w:cs="Times New Roman"/>
          <w:lang w:val="en-US" w:eastAsia="zh-CN"/>
        </w:rPr>
        <w:t>本项目养护内容主要包括中耕除草，整地施肥，灌溉排水，修剪整型，分株移植、防病除虫、防盐降碱，支撑绑扎，加土扶正，清除枯枝，冬季防护，环境清理，设施维护等。项目立项对维护生态环境十分必要。</w:t>
      </w:r>
    </w:p>
    <w:p w14:paraId="27F31801">
      <w:pPr>
        <w:pStyle w:val="5"/>
        <w:numPr>
          <w:ilvl w:val="0"/>
          <w:numId w:val="0"/>
        </w:numPr>
        <w:bidi w:val="0"/>
        <w:ind w:leftChars="200"/>
        <w:rPr>
          <w:rFonts w:hint="eastAsia"/>
        </w:rPr>
      </w:pPr>
      <w:bookmarkStart w:id="140" w:name="_Toc22687"/>
      <w:r>
        <w:rPr>
          <w:rFonts w:hint="eastAsia"/>
          <w:lang w:val="en-US" w:eastAsia="zh-CN"/>
        </w:rPr>
        <w:t>2.</w:t>
      </w:r>
      <w:r>
        <w:rPr>
          <w:rFonts w:hint="eastAsia"/>
        </w:rPr>
        <w:t>投入经济性</w:t>
      </w:r>
      <w:bookmarkEnd w:id="135"/>
      <w:bookmarkEnd w:id="136"/>
      <w:bookmarkEnd w:id="137"/>
      <w:bookmarkEnd w:id="140"/>
    </w:p>
    <w:p w14:paraId="1F3CE0B8">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通过对项目实施方案的分析，本项目财政预算资金的投入按年投入，拟通过招标渠道选择有实力的社会企业参与建设运维，可保证资源配置高效、经济。</w:t>
      </w:r>
    </w:p>
    <w:p w14:paraId="4BE442C7">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项目进行了测算，测算较为充分，成本测算比较充分，满足投入经济性要求。</w:t>
      </w:r>
    </w:p>
    <w:p w14:paraId="0327F8DC">
      <w:pPr>
        <w:pStyle w:val="5"/>
        <w:bidi w:val="0"/>
        <w:rPr>
          <w:rFonts w:hint="eastAsia"/>
        </w:rPr>
      </w:pPr>
      <w:bookmarkStart w:id="141" w:name="_Toc22460"/>
      <w:bookmarkStart w:id="142" w:name="_Toc7569"/>
      <w:bookmarkStart w:id="143" w:name="_Toc18162"/>
      <w:bookmarkStart w:id="144" w:name="_Toc11237"/>
      <w:r>
        <w:rPr>
          <w:rFonts w:hint="eastAsia"/>
          <w:lang w:val="en-US" w:eastAsia="zh-CN"/>
        </w:rPr>
        <w:t>3.</w:t>
      </w:r>
      <w:r>
        <w:rPr>
          <w:rFonts w:hint="eastAsia"/>
        </w:rPr>
        <w:t>绩效目标合理性</w:t>
      </w:r>
      <w:bookmarkEnd w:id="141"/>
      <w:bookmarkEnd w:id="142"/>
      <w:bookmarkEnd w:id="143"/>
      <w:bookmarkEnd w:id="144"/>
    </w:p>
    <w:p w14:paraId="45907BE6">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基于预算单位提供的绩效目标申报表，并根据本项目的实际情况，对本项目各项绩效目标进行梳理，编制了如下三级评估打分指标,对各项绩效目标的合理性进行了评估。</w:t>
      </w:r>
    </w:p>
    <w:p w14:paraId="2BF151A3">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（1）立项必要性指标</w:t>
      </w:r>
    </w:p>
    <w:p w14:paraId="526C9414">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“立项必要性”为一级指标，下设二级指标“政策相关性”、“职能相关性”、“需求相关性”、“决策规范性”。</w:t>
      </w:r>
    </w:p>
    <w:p w14:paraId="6B643736">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（2）投入经济性指标</w:t>
      </w:r>
    </w:p>
    <w:p w14:paraId="4C9C702C">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“投入经济性”为一级指标，下设二级指标“投入合理性”、“成本控制措施有效性”。</w:t>
      </w:r>
    </w:p>
    <w:p w14:paraId="46D3763F">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（3）绩效目标表合理性指标</w:t>
      </w:r>
    </w:p>
    <w:p w14:paraId="23015C2E">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“绩效目标表合理性”为一级指标，下设二级指标“目标明确性”、“目标合理性”。</w:t>
      </w:r>
    </w:p>
    <w:p w14:paraId="1ECC6802">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（4）实施方案有效性指标</w:t>
      </w:r>
    </w:p>
    <w:p w14:paraId="20C99B6C">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“实施方案有效性”为一级指标，下设二级指标“实施内容明确性”、“实施方案可行性”、“过程控制有效性”。</w:t>
      </w:r>
    </w:p>
    <w:p w14:paraId="05E392F0">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（5）筹资合规性指标</w:t>
      </w:r>
    </w:p>
    <w:p w14:paraId="1C271C60">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“筹资合规性”为一级指标，下设二级指标“筹资合规性”、“财政投入能力”、“筹资风险可控性”。</w:t>
      </w:r>
    </w:p>
    <w:p w14:paraId="0F817F99">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通过全面分析各项绩效目标的“明确性”与“合理性”， 评估组认为，本项目各项绩效目标与指标值的设置基本能满足“绩效目标合理性”的要求。</w:t>
      </w:r>
      <w:bookmarkStart w:id="145" w:name="_Toc11220"/>
      <w:bookmarkStart w:id="146" w:name="_Toc29097"/>
    </w:p>
    <w:p w14:paraId="5FE7C09F">
      <w:pPr>
        <w:bidi w:val="0"/>
        <w:rPr>
          <w:rFonts w:hint="eastAsia" w:ascii="华文仿宋" w:hAnsi="华文仿宋" w:eastAsia="华文仿宋" w:cs="华文仿宋"/>
          <w:snapToGrid w:val="0"/>
          <w:kern w:val="0"/>
          <w:sz w:val="32"/>
          <w:szCs w:val="32"/>
          <w:highlight w:val="none"/>
          <w:lang w:val="en-US" w:eastAsia="zh-CN" w:bidi="ar-SA"/>
        </w:rPr>
      </w:pPr>
      <w:r>
        <w:rPr>
          <w:rFonts w:hint="eastAsia"/>
          <w:lang w:val="en-US" w:eastAsia="zh-CN"/>
        </w:rPr>
        <w:t>4.</w:t>
      </w:r>
      <w:r>
        <w:rPr>
          <w:rFonts w:hint="eastAsia"/>
        </w:rPr>
        <w:t>实施方案可行性</w:t>
      </w:r>
      <w:bookmarkEnd w:id="145"/>
      <w:bookmarkEnd w:id="146"/>
    </w:p>
    <w:p w14:paraId="32C4902A">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经评估后认为，本项目组织与管理明确，由</w:t>
      </w:r>
      <w:r>
        <w:rPr>
          <w:rFonts w:hint="default" w:ascii="Times New Roman" w:hAnsi="Times New Roman" w:eastAsia="仿宋_GB2312" w:cs="Times New Roman"/>
          <w:lang w:val="en-US" w:eastAsia="zh-CN"/>
        </w:rPr>
        <w:fldChar w:fldCharType="begin"/>
      </w:r>
      <w:r>
        <w:rPr>
          <w:rFonts w:hint="default" w:ascii="Times New Roman" w:hAnsi="Times New Roman" w:eastAsia="仿宋_GB2312" w:cs="Times New Roman"/>
          <w:lang w:val="en-US" w:eastAsia="zh-CN"/>
        </w:rPr>
        <w:instrText xml:space="preserve"> HYPERLINK "https://www.so.com/link?m=btA4cpTTcjEJvH5gnATtrzhrwhYr/cKPYwVOxRW6abtlEsij87M6qgsr63PsDfzvKvdywHRiIb1Vtj1LKHRyfGVr5GYOPLqUvwUfNbMRYEEhi1FSxPbEYyR8BvNMTFHeVuSy82DpeJZSJpmlRHBK+zX/GYGNSdd3pVDDh/ixhOBNlVUagQd3+iqWKvJYjZ9c5" \t "https://www.so.com/_blank" </w:instrText>
      </w:r>
      <w:r>
        <w:rPr>
          <w:rFonts w:hint="default" w:ascii="Times New Roman" w:hAnsi="Times New Roman" w:eastAsia="仿宋_GB2312" w:cs="Times New Roman"/>
          <w:lang w:val="en-US" w:eastAsia="zh-CN"/>
        </w:rPr>
        <w:fldChar w:fldCharType="separate"/>
      </w:r>
      <w:r>
        <w:rPr>
          <w:rFonts w:hint="eastAsia" w:ascii="Times New Roman" w:hAnsi="Times New Roman" w:eastAsia="仿宋_GB2312" w:cs="Times New Roman"/>
          <w:lang w:val="en-US" w:eastAsia="zh-CN"/>
        </w:rPr>
        <w:t>宁河区林业局</w:t>
      </w:r>
      <w:r>
        <w:rPr>
          <w:rFonts w:hint="default" w:ascii="Times New Roman" w:hAnsi="Times New Roman" w:eastAsia="仿宋_GB2312" w:cs="Times New Roman"/>
          <w:lang w:val="en-US" w:eastAsia="zh-CN"/>
        </w:rPr>
        <w:fldChar w:fldCharType="end"/>
      </w:r>
      <w:r>
        <w:rPr>
          <w:rFonts w:hint="eastAsia" w:ascii="Times New Roman" w:hAnsi="Times New Roman" w:eastAsia="仿宋_GB2312" w:cs="Times New Roman"/>
          <w:lang w:val="en-US" w:eastAsia="zh-CN"/>
        </w:rPr>
        <w:t>委托碧景天成绿化公司组织实施；项目实施可实现良好的生态效益与社会效益，并可减轻</w:t>
      </w:r>
      <w:r>
        <w:rPr>
          <w:rFonts w:hint="default" w:ascii="Times New Roman" w:hAnsi="Times New Roman" w:eastAsia="仿宋_GB2312" w:cs="Times New Roman"/>
          <w:lang w:val="en-US" w:eastAsia="zh-CN"/>
        </w:rPr>
        <w:fldChar w:fldCharType="begin"/>
      </w:r>
      <w:r>
        <w:rPr>
          <w:rFonts w:hint="default" w:ascii="Times New Roman" w:hAnsi="Times New Roman" w:eastAsia="仿宋_GB2312" w:cs="Times New Roman"/>
          <w:lang w:val="en-US" w:eastAsia="zh-CN"/>
        </w:rPr>
        <w:instrText xml:space="preserve"> HYPERLINK "https://www.so.com/link?m=btA4cpTTcjEJvH5gnATtrzhrwhYr/cKPYwVOxRW6abtlEsij87M6qgsr63PsDfzvKvdywHRiIb1Vtj1LKHRyfGVr5GYOPLqUvwUfNbMRYEEhi1FSxPbEYyR8BvNMTFHeVuSy82DpeJZSJpmlRHBK+zX/GYGNSdd3pVDDh/ixhOBNlVUagQd3+iqWKvJYjZ9c5" \t "https://www.so.com/_blank" </w:instrText>
      </w:r>
      <w:r>
        <w:rPr>
          <w:rFonts w:hint="default" w:ascii="Times New Roman" w:hAnsi="Times New Roman" w:eastAsia="仿宋_GB2312" w:cs="Times New Roman"/>
          <w:lang w:val="en-US" w:eastAsia="zh-CN"/>
        </w:rPr>
        <w:fldChar w:fldCharType="separate"/>
      </w:r>
      <w:r>
        <w:rPr>
          <w:rFonts w:hint="eastAsia" w:ascii="Times New Roman" w:hAnsi="Times New Roman" w:eastAsia="仿宋_GB2312" w:cs="Times New Roman"/>
          <w:lang w:val="en-US" w:eastAsia="zh-CN"/>
        </w:rPr>
        <w:t>宁河区林业局</w:t>
      </w:r>
      <w:r>
        <w:rPr>
          <w:rFonts w:hint="default" w:ascii="Times New Roman" w:hAnsi="Times New Roman" w:eastAsia="仿宋_GB2312" w:cs="Times New Roman"/>
          <w:lang w:val="en-US" w:eastAsia="zh-CN"/>
        </w:rPr>
        <w:fldChar w:fldCharType="end"/>
      </w:r>
      <w:r>
        <w:rPr>
          <w:rFonts w:hint="eastAsia" w:ascii="Times New Roman" w:hAnsi="Times New Roman" w:eastAsia="仿宋_GB2312" w:cs="Times New Roman"/>
          <w:lang w:val="en-US" w:eastAsia="zh-CN"/>
        </w:rPr>
        <w:t>行政管理的负担；在项目人员、设施、物资等基础保障条件方面，通过招标程序，择优选择有明显实力的社会企业进行绿环养管，对不确定因素和风险，通过合约进行约束。</w:t>
      </w:r>
    </w:p>
    <w:p w14:paraId="16D6B068">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项目管理制度基本健全，预算单位已提供绩效管理方面的主要制度。</w:t>
      </w:r>
    </w:p>
    <w:p w14:paraId="03FFA9A6">
      <w:pPr>
        <w:pStyle w:val="5"/>
        <w:bidi w:val="0"/>
        <w:rPr>
          <w:rFonts w:hint="eastAsia"/>
        </w:rPr>
      </w:pPr>
      <w:bookmarkStart w:id="147" w:name="_Toc16999"/>
      <w:bookmarkStart w:id="148" w:name="_Toc26529"/>
      <w:bookmarkStart w:id="149" w:name="_Toc2828"/>
      <w:bookmarkStart w:id="150" w:name="_Toc13043"/>
      <w:r>
        <w:rPr>
          <w:rFonts w:hint="eastAsia"/>
          <w:lang w:val="en-US" w:eastAsia="zh-CN"/>
        </w:rPr>
        <w:t>5.</w:t>
      </w:r>
      <w:r>
        <w:rPr>
          <w:rFonts w:hint="eastAsia"/>
        </w:rPr>
        <w:t>筹资合规性</w:t>
      </w:r>
      <w:bookmarkEnd w:id="147"/>
      <w:bookmarkEnd w:id="148"/>
      <w:bookmarkEnd w:id="149"/>
      <w:bookmarkEnd w:id="150"/>
    </w:p>
    <w:p w14:paraId="42D91781">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经评估组审核，本项目已经由宁河区林业局进行了项目预算申报，资金来源为财政预算资金（一般公共预算支出），属于公共财政支持范围。</w:t>
      </w:r>
    </w:p>
    <w:p w14:paraId="414AD2F6">
      <w:pPr>
        <w:pStyle w:val="5"/>
        <w:bidi w:val="0"/>
        <w:rPr>
          <w:rFonts w:hint="eastAsia"/>
          <w:lang w:val="en-US" w:eastAsia="zh-CN"/>
        </w:rPr>
      </w:pPr>
      <w:bookmarkStart w:id="151" w:name="_Toc29852"/>
      <w:bookmarkStart w:id="152" w:name="_Toc1974"/>
      <w:r>
        <w:rPr>
          <w:rFonts w:hint="eastAsia"/>
          <w:lang w:val="en-US" w:eastAsia="zh-CN"/>
        </w:rPr>
        <w:t>6.项目综合评分</w:t>
      </w:r>
      <w:bookmarkEnd w:id="151"/>
      <w:bookmarkEnd w:id="152"/>
    </w:p>
    <w:p w14:paraId="0BF1B2E3">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在以上分析基础上，我们编制了以下综合评估打分标准，对本项目进行了量化评估。</w:t>
      </w:r>
    </w:p>
    <w:bookmarkEnd w:id="138"/>
    <w:bookmarkEnd w:id="139"/>
    <w:tbl>
      <w:tblPr>
        <w:tblStyle w:val="13"/>
        <w:tblpPr w:leftFromText="180" w:rightFromText="180" w:vertAnchor="text" w:horzAnchor="page" w:tblpXSpec="center" w:tblpY="496"/>
        <w:tblOverlap w:val="never"/>
        <w:tblW w:w="9379" w:type="dxa"/>
        <w:jc w:val="center"/>
        <w:shd w:val="clear" w:color="auto" w:fill="auto"/>
        <w:tblLayout w:type="fixed"/>
        <w:tblCellMar>
          <w:top w:w="0" w:type="dxa"/>
          <w:left w:w="0" w:type="dxa"/>
          <w:bottom w:w="0" w:type="dxa"/>
          <w:right w:w="0" w:type="dxa"/>
        </w:tblCellMar>
      </w:tblPr>
      <w:tblGrid>
        <w:gridCol w:w="1008"/>
        <w:gridCol w:w="1473"/>
        <w:gridCol w:w="5236"/>
        <w:gridCol w:w="519"/>
        <w:gridCol w:w="600"/>
        <w:gridCol w:w="543"/>
      </w:tblGrid>
      <w:tr w14:paraId="53857D03">
        <w:tblPrEx>
          <w:shd w:val="clear" w:color="auto" w:fill="auto"/>
          <w:tblCellMar>
            <w:top w:w="0" w:type="dxa"/>
            <w:left w:w="0" w:type="dxa"/>
            <w:bottom w:w="0" w:type="dxa"/>
            <w:right w:w="0" w:type="dxa"/>
          </w:tblCellMar>
        </w:tblPrEx>
        <w:trPr>
          <w:trHeight w:val="300" w:hRule="atLeast"/>
          <w:jc w:val="center"/>
        </w:trPr>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2FFE4D">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b/>
                <w:i w:val="0"/>
                <w:color w:val="000000"/>
                <w:sz w:val="24"/>
                <w:szCs w:val="24"/>
                <w:u w:val="none"/>
              </w:rPr>
            </w:pPr>
            <w:bookmarkStart w:id="153" w:name="_Toc8407"/>
            <w:bookmarkStart w:id="154" w:name="_Toc2615"/>
            <w:bookmarkStart w:id="155" w:name="_Toc13709"/>
            <w:bookmarkStart w:id="156" w:name="_Toc6840"/>
            <w:bookmarkStart w:id="157" w:name="_Toc22565"/>
            <w:r>
              <w:rPr>
                <w:rFonts w:hint="eastAsia" w:ascii="仿宋" w:hAnsi="仿宋" w:eastAsia="仿宋" w:cs="仿宋"/>
                <w:b/>
                <w:i w:val="0"/>
                <w:color w:val="000000"/>
                <w:kern w:val="0"/>
                <w:sz w:val="24"/>
                <w:szCs w:val="24"/>
                <w:u w:val="none"/>
                <w:lang w:val="en-US" w:eastAsia="zh-CN" w:bidi="ar"/>
              </w:rPr>
              <w:t>一级指标</w:t>
            </w:r>
          </w:p>
        </w:tc>
        <w:tc>
          <w:tcPr>
            <w:tcW w:w="1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9B7FDA">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二级指标</w:t>
            </w:r>
          </w:p>
        </w:tc>
        <w:tc>
          <w:tcPr>
            <w:tcW w:w="523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401BEB">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评估要点</w:t>
            </w:r>
          </w:p>
        </w:tc>
        <w:tc>
          <w:tcPr>
            <w:tcW w:w="51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EEC065">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分值</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17DA8E">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得分</w:t>
            </w:r>
          </w:p>
        </w:tc>
        <w:tc>
          <w:tcPr>
            <w:tcW w:w="5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05912">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扣分</w:t>
            </w:r>
          </w:p>
        </w:tc>
      </w:tr>
      <w:tr w14:paraId="6F82A0C9">
        <w:tblPrEx>
          <w:tblCellMar>
            <w:top w:w="0" w:type="dxa"/>
            <w:left w:w="0" w:type="dxa"/>
            <w:bottom w:w="0" w:type="dxa"/>
            <w:right w:w="0" w:type="dxa"/>
          </w:tblCellMar>
        </w:tblPrEx>
        <w:trPr>
          <w:trHeight w:val="270"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DC51E1">
            <w:pPr>
              <w:keepNext w:val="0"/>
              <w:keepLines w:val="0"/>
              <w:pageBreakBefore w:val="0"/>
              <w:kinsoku/>
              <w:wordWrap/>
              <w:overflowPunct/>
              <w:topLinePunct w:val="0"/>
              <w:autoSpaceDE/>
              <w:autoSpaceDN/>
              <w:bidi w:val="0"/>
              <w:adjustRightInd/>
              <w:snapToGrid/>
              <w:spacing w:line="320" w:lineRule="exact"/>
              <w:jc w:val="both"/>
              <w:rPr>
                <w:rFonts w:hint="eastAsia" w:ascii="仿宋" w:hAnsi="仿宋" w:eastAsia="仿宋" w:cs="仿宋"/>
                <w:b/>
                <w:i w:val="0"/>
                <w:color w:val="000000"/>
                <w:sz w:val="24"/>
                <w:szCs w:val="24"/>
                <w:u w:val="none"/>
              </w:rPr>
            </w:pPr>
          </w:p>
        </w:tc>
        <w:tc>
          <w:tcPr>
            <w:tcW w:w="1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BB0A5">
            <w:pPr>
              <w:keepNext w:val="0"/>
              <w:keepLines w:val="0"/>
              <w:pageBreakBefore w:val="0"/>
              <w:kinsoku/>
              <w:wordWrap/>
              <w:overflowPunct/>
              <w:topLinePunct w:val="0"/>
              <w:autoSpaceDE/>
              <w:autoSpaceDN/>
              <w:bidi w:val="0"/>
              <w:adjustRightInd/>
              <w:snapToGrid/>
              <w:spacing w:line="320" w:lineRule="exact"/>
              <w:jc w:val="both"/>
              <w:rPr>
                <w:rFonts w:hint="eastAsia" w:ascii="仿宋" w:hAnsi="仿宋" w:eastAsia="仿宋" w:cs="仿宋"/>
                <w:b/>
                <w:i w:val="0"/>
                <w:color w:val="000000"/>
                <w:sz w:val="24"/>
                <w:szCs w:val="24"/>
                <w:u w:val="none"/>
              </w:rPr>
            </w:pPr>
          </w:p>
        </w:tc>
        <w:tc>
          <w:tcPr>
            <w:tcW w:w="523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810C41">
            <w:pPr>
              <w:keepNext w:val="0"/>
              <w:keepLines w:val="0"/>
              <w:pageBreakBefore w:val="0"/>
              <w:kinsoku/>
              <w:wordWrap/>
              <w:overflowPunct/>
              <w:topLinePunct w:val="0"/>
              <w:autoSpaceDE/>
              <w:autoSpaceDN/>
              <w:bidi w:val="0"/>
              <w:adjustRightInd/>
              <w:snapToGrid/>
              <w:spacing w:line="320" w:lineRule="exact"/>
              <w:jc w:val="both"/>
              <w:rPr>
                <w:rFonts w:hint="eastAsia" w:ascii="仿宋" w:hAnsi="仿宋" w:eastAsia="仿宋" w:cs="仿宋"/>
                <w:b/>
                <w:i w:val="0"/>
                <w:color w:val="000000"/>
                <w:sz w:val="24"/>
                <w:szCs w:val="24"/>
                <w:u w:val="none"/>
              </w:rPr>
            </w:pPr>
          </w:p>
        </w:tc>
        <w:tc>
          <w:tcPr>
            <w:tcW w:w="5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9F027B">
            <w:pPr>
              <w:keepNext w:val="0"/>
              <w:keepLines w:val="0"/>
              <w:pageBreakBefore w:val="0"/>
              <w:kinsoku/>
              <w:wordWrap/>
              <w:overflowPunct/>
              <w:topLinePunct w:val="0"/>
              <w:autoSpaceDE/>
              <w:autoSpaceDN/>
              <w:bidi w:val="0"/>
              <w:adjustRightInd/>
              <w:snapToGrid/>
              <w:spacing w:line="320" w:lineRule="exact"/>
              <w:jc w:val="both"/>
              <w:rPr>
                <w:rFonts w:hint="eastAsia" w:ascii="仿宋" w:hAnsi="仿宋" w:eastAsia="仿宋" w:cs="仿宋"/>
                <w:b/>
                <w:i w:val="0"/>
                <w:color w:val="000000"/>
                <w:sz w:val="24"/>
                <w:szCs w:val="24"/>
                <w:u w:val="none"/>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C4B919">
            <w:pPr>
              <w:keepNext w:val="0"/>
              <w:keepLines w:val="0"/>
              <w:pageBreakBefore w:val="0"/>
              <w:kinsoku/>
              <w:wordWrap/>
              <w:overflowPunct/>
              <w:topLinePunct w:val="0"/>
              <w:autoSpaceDE/>
              <w:autoSpaceDN/>
              <w:bidi w:val="0"/>
              <w:adjustRightInd/>
              <w:snapToGrid/>
              <w:spacing w:line="320" w:lineRule="exact"/>
              <w:jc w:val="both"/>
              <w:rPr>
                <w:rFonts w:hint="eastAsia" w:ascii="仿宋" w:hAnsi="仿宋" w:eastAsia="仿宋" w:cs="仿宋"/>
                <w:b/>
                <w:i w:val="0"/>
                <w:color w:val="000000"/>
                <w:sz w:val="24"/>
                <w:szCs w:val="24"/>
                <w:u w:val="none"/>
              </w:rPr>
            </w:pPr>
          </w:p>
        </w:tc>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FEEB64">
            <w:pPr>
              <w:keepNext w:val="0"/>
              <w:keepLines w:val="0"/>
              <w:pageBreakBefore w:val="0"/>
              <w:kinsoku/>
              <w:wordWrap/>
              <w:overflowPunct/>
              <w:topLinePunct w:val="0"/>
              <w:autoSpaceDE/>
              <w:autoSpaceDN/>
              <w:bidi w:val="0"/>
              <w:adjustRightInd/>
              <w:snapToGrid/>
              <w:spacing w:line="320" w:lineRule="exact"/>
              <w:jc w:val="both"/>
              <w:rPr>
                <w:rFonts w:hint="eastAsia" w:ascii="仿宋" w:hAnsi="仿宋" w:eastAsia="仿宋" w:cs="仿宋"/>
                <w:b/>
                <w:i w:val="0"/>
                <w:color w:val="000000"/>
                <w:sz w:val="24"/>
                <w:szCs w:val="24"/>
                <w:u w:val="none"/>
              </w:rPr>
            </w:pPr>
          </w:p>
        </w:tc>
      </w:tr>
      <w:tr w14:paraId="222BE93A">
        <w:tblPrEx>
          <w:shd w:val="clear" w:color="auto" w:fill="auto"/>
          <w:tblCellMar>
            <w:top w:w="0" w:type="dxa"/>
            <w:left w:w="0" w:type="dxa"/>
            <w:bottom w:w="0" w:type="dxa"/>
            <w:right w:w="0" w:type="dxa"/>
          </w:tblCellMar>
        </w:tblPrEx>
        <w:trPr>
          <w:trHeight w:val="480" w:hRule="atLeast"/>
          <w:jc w:val="center"/>
        </w:trPr>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1F935B">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立项必要性（20）</w:t>
            </w: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4C0EFC">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政策相关性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438363">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是否与国家、天津市、相关行业宏观政策相关。</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D35A9C">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A1622A">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3DA22">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r>
      <w:tr w14:paraId="23CDB615">
        <w:tblPrEx>
          <w:shd w:val="clear" w:color="auto" w:fill="auto"/>
          <w:tblCellMar>
            <w:top w:w="0" w:type="dxa"/>
            <w:left w:w="0" w:type="dxa"/>
            <w:bottom w:w="0" w:type="dxa"/>
            <w:right w:w="0" w:type="dxa"/>
          </w:tblCellMar>
        </w:tblPrEx>
        <w:trPr>
          <w:trHeight w:val="270"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57B8F">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55745F">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职能相关性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4305E0">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是否与主管部门职能、规划及当年重点工作相关。</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A9C70F">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74C26A">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A993B">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r>
      <w:tr w14:paraId="4C30EB03">
        <w:tblPrEx>
          <w:shd w:val="clear" w:color="auto" w:fill="auto"/>
          <w:tblCellMar>
            <w:top w:w="0" w:type="dxa"/>
            <w:left w:w="0" w:type="dxa"/>
            <w:bottom w:w="0" w:type="dxa"/>
            <w:right w:w="0" w:type="dxa"/>
          </w:tblCellMar>
        </w:tblPrEx>
        <w:trPr>
          <w:trHeight w:val="480"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B149F">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CD043">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需求相关性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DB4B6D">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①是否具有现实需求，需求是否迫切；②是否有可替代性；③是否有确定的服务对象或受益对象。</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8F0999">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CD7E5">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E644F">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r>
      <w:tr w14:paraId="7D109684">
        <w:tblPrEx>
          <w:shd w:val="clear" w:color="auto" w:fill="auto"/>
          <w:tblCellMar>
            <w:top w:w="0" w:type="dxa"/>
            <w:left w:w="0" w:type="dxa"/>
            <w:bottom w:w="0" w:type="dxa"/>
            <w:right w:w="0" w:type="dxa"/>
          </w:tblCellMar>
        </w:tblPrEx>
        <w:trPr>
          <w:trHeight w:val="380"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26601">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F87376">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决策规范性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ECE010">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决策过程是否科学规范。</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73CE7">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297BDE">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cs="仿宋"/>
                <w:i w:val="0"/>
                <w:color w:val="000000"/>
                <w:kern w:val="0"/>
                <w:sz w:val="24"/>
                <w:szCs w:val="24"/>
                <w:u w:val="none"/>
                <w:lang w:val="en-US" w:eastAsia="zh-CN" w:bidi="ar"/>
              </w:rPr>
              <w:t>5</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BF9F8D">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p>
        </w:tc>
      </w:tr>
      <w:tr w14:paraId="49B34F08">
        <w:tblPrEx>
          <w:shd w:val="clear" w:color="auto" w:fill="auto"/>
          <w:tblCellMar>
            <w:top w:w="0" w:type="dxa"/>
            <w:left w:w="0" w:type="dxa"/>
            <w:bottom w:w="0" w:type="dxa"/>
            <w:right w:w="0" w:type="dxa"/>
          </w:tblCellMar>
        </w:tblPrEx>
        <w:trPr>
          <w:trHeight w:val="480" w:hRule="atLeast"/>
          <w:jc w:val="center"/>
        </w:trPr>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094526">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投入经济性（20）</w:t>
            </w: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204D8F">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投入合理性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40A16D">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①项目投入资源及成本是否与预期</w:t>
            </w:r>
            <w:r>
              <w:rPr>
                <w:rStyle w:val="25"/>
                <w:rFonts w:hint="eastAsia" w:ascii="仿宋" w:hAnsi="仿宋" w:eastAsia="仿宋" w:cs="仿宋"/>
                <w:sz w:val="24"/>
                <w:szCs w:val="24"/>
                <w:lang w:val="en-US" w:eastAsia="zh-CN" w:bidi="ar"/>
              </w:rPr>
              <w:t>产出及效果相匹配；②投入成本是否合理，成本测算依据是否充分；③其他渠道是否有充分投入。</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68A7E">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BEA4BD">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4AB86">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r>
      <w:tr w14:paraId="46EA5B7A">
        <w:tblPrEx>
          <w:shd w:val="clear" w:color="auto" w:fill="auto"/>
          <w:tblCellMar>
            <w:top w:w="0" w:type="dxa"/>
            <w:left w:w="0" w:type="dxa"/>
            <w:bottom w:w="0" w:type="dxa"/>
            <w:right w:w="0" w:type="dxa"/>
          </w:tblCellMar>
        </w:tblPrEx>
        <w:trPr>
          <w:trHeight w:val="480"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023DF">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833E96">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成</w:t>
            </w:r>
            <w:r>
              <w:rPr>
                <w:rStyle w:val="25"/>
                <w:rFonts w:hint="eastAsia" w:ascii="仿宋" w:hAnsi="仿宋" w:eastAsia="仿宋" w:cs="仿宋"/>
                <w:sz w:val="24"/>
                <w:szCs w:val="24"/>
                <w:lang w:val="en-US" w:eastAsia="zh-CN" w:bidi="ar"/>
              </w:rPr>
              <w:t>本控制措施有效性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F64C35">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项目是否采取相关成本控制措施，成本控制措施是</w:t>
            </w:r>
            <w:r>
              <w:rPr>
                <w:rStyle w:val="25"/>
                <w:rFonts w:hint="eastAsia" w:ascii="仿宋" w:hAnsi="仿宋" w:eastAsia="仿宋" w:cs="仿宋"/>
                <w:sz w:val="24"/>
                <w:szCs w:val="24"/>
                <w:lang w:val="en-US" w:eastAsia="zh-CN" w:bidi="ar"/>
              </w:rPr>
              <w:t>否有效。</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95888">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C9A2A">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cs="仿宋"/>
                <w:i w:val="0"/>
                <w:color w:val="000000"/>
                <w:kern w:val="0"/>
                <w:sz w:val="24"/>
                <w:szCs w:val="24"/>
                <w:u w:val="none"/>
                <w:lang w:val="en-US" w:eastAsia="zh-CN" w:bidi="ar"/>
              </w:rPr>
              <w:t>7</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F48B41">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default" w:ascii="仿宋" w:hAnsi="仿宋" w:eastAsia="仿宋" w:cs="仿宋"/>
                <w:i w:val="0"/>
                <w:color w:val="000000"/>
                <w:sz w:val="24"/>
                <w:szCs w:val="24"/>
                <w:u w:val="none"/>
                <w:lang w:val="en-US"/>
              </w:rPr>
            </w:pPr>
            <w:r>
              <w:rPr>
                <w:rFonts w:hint="eastAsia" w:ascii="仿宋" w:hAnsi="仿宋" w:eastAsia="仿宋" w:cs="仿宋"/>
                <w:i w:val="0"/>
                <w:color w:val="000000"/>
                <w:kern w:val="0"/>
                <w:sz w:val="24"/>
                <w:szCs w:val="24"/>
                <w:u w:val="none"/>
                <w:lang w:val="en-US" w:eastAsia="zh-CN" w:bidi="ar"/>
              </w:rPr>
              <w:t>-</w:t>
            </w:r>
            <w:r>
              <w:rPr>
                <w:rFonts w:hint="eastAsia" w:ascii="仿宋" w:hAnsi="仿宋" w:cs="仿宋"/>
                <w:i w:val="0"/>
                <w:color w:val="000000"/>
                <w:kern w:val="0"/>
                <w:sz w:val="24"/>
                <w:szCs w:val="24"/>
                <w:u w:val="none"/>
                <w:lang w:val="en-US" w:eastAsia="zh-CN" w:bidi="ar"/>
              </w:rPr>
              <w:t>3</w:t>
            </w:r>
          </w:p>
        </w:tc>
      </w:tr>
      <w:tr w14:paraId="3B2A1B0A">
        <w:tblPrEx>
          <w:shd w:val="clear" w:color="auto" w:fill="auto"/>
          <w:tblCellMar>
            <w:top w:w="0" w:type="dxa"/>
            <w:left w:w="0" w:type="dxa"/>
            <w:bottom w:w="0" w:type="dxa"/>
            <w:right w:w="0" w:type="dxa"/>
          </w:tblCellMar>
        </w:tblPrEx>
        <w:trPr>
          <w:trHeight w:val="720" w:hRule="atLeast"/>
          <w:jc w:val="center"/>
        </w:trPr>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0C542">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绩效目标合理性（20）</w:t>
            </w: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BB5943">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目标明确性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15520">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①绩效目标设定是否明确；②与部门长期规划目标、年度工作目标是否一致；③项目受益群体定位是否准确；④绩效目标和指标设置是否与项目高度相关。</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A2A3CA">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578C5">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E7F953">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w:t>
            </w:r>
            <w:r>
              <w:rPr>
                <w:rFonts w:hint="eastAsia" w:ascii="仿宋" w:hAnsi="仿宋" w:cs="仿宋"/>
                <w:i w:val="0"/>
                <w:color w:val="000000"/>
                <w:kern w:val="0"/>
                <w:sz w:val="24"/>
                <w:szCs w:val="24"/>
                <w:u w:val="none"/>
                <w:lang w:val="en-US" w:eastAsia="zh-CN" w:bidi="ar"/>
              </w:rPr>
              <w:t>3</w:t>
            </w:r>
          </w:p>
        </w:tc>
      </w:tr>
      <w:tr w14:paraId="43C86133">
        <w:tblPrEx>
          <w:shd w:val="clear" w:color="auto" w:fill="auto"/>
          <w:tblCellMar>
            <w:top w:w="0" w:type="dxa"/>
            <w:left w:w="0" w:type="dxa"/>
            <w:bottom w:w="0" w:type="dxa"/>
            <w:right w:w="0" w:type="dxa"/>
          </w:tblCellMar>
        </w:tblPrEx>
        <w:trPr>
          <w:trHeight w:val="720"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30D69">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CF00F2">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目标合理性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3A2FA6">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①绩效目标与项目预计解决的问题是否匹配；②绩效目标与现实需求是否匹配；③绩效目标是否具有一定的前瞻性和挑战性；④绩效指标是否细化、量化，指标值是否合理、可考核。</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DB13F">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C8CBA">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default" w:ascii="仿宋" w:hAnsi="仿宋" w:eastAsia="仿宋" w:cs="仿宋"/>
                <w:i w:val="0"/>
                <w:color w:val="000000"/>
                <w:sz w:val="24"/>
                <w:szCs w:val="24"/>
                <w:u w:val="none"/>
                <w:lang w:val="en-US"/>
              </w:rPr>
            </w:pPr>
            <w:r>
              <w:rPr>
                <w:rFonts w:hint="eastAsia" w:ascii="仿宋" w:hAnsi="仿宋" w:cs="仿宋"/>
                <w:i w:val="0"/>
                <w:color w:val="000000"/>
                <w:kern w:val="0"/>
                <w:sz w:val="24"/>
                <w:szCs w:val="24"/>
                <w:u w:val="none"/>
                <w:lang w:val="en-US" w:eastAsia="zh-CN" w:bidi="ar"/>
              </w:rPr>
              <w:t>10</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4AE81">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r>
      <w:tr w14:paraId="3DCDF3F1">
        <w:tblPrEx>
          <w:shd w:val="clear" w:color="auto" w:fill="auto"/>
          <w:tblCellMar>
            <w:top w:w="0" w:type="dxa"/>
            <w:left w:w="0" w:type="dxa"/>
            <w:bottom w:w="0" w:type="dxa"/>
            <w:right w:w="0" w:type="dxa"/>
          </w:tblCellMar>
        </w:tblPrEx>
        <w:trPr>
          <w:trHeight w:val="270" w:hRule="atLeast"/>
          <w:jc w:val="center"/>
        </w:trPr>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2F4952">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default" w:ascii="仿宋" w:hAnsi="仿宋" w:eastAsia="仿宋" w:cs="仿宋"/>
                <w:i w:val="0"/>
                <w:color w:val="000000"/>
                <w:sz w:val="24"/>
                <w:szCs w:val="24"/>
                <w:u w:val="none"/>
                <w:lang w:val="en-US"/>
              </w:rPr>
            </w:pPr>
            <w:r>
              <w:rPr>
                <w:rFonts w:hint="eastAsia" w:ascii="仿宋" w:hAnsi="仿宋" w:eastAsia="仿宋" w:cs="仿宋"/>
                <w:i w:val="0"/>
                <w:color w:val="000000"/>
                <w:kern w:val="0"/>
                <w:sz w:val="24"/>
                <w:szCs w:val="24"/>
                <w:u w:val="none"/>
                <w:lang w:val="en-US" w:eastAsia="zh-CN" w:bidi="ar"/>
              </w:rPr>
              <w:t>实施方案有效性</w:t>
            </w:r>
            <w:r>
              <w:rPr>
                <w:rFonts w:hint="eastAsia" w:ascii="仿宋" w:hAnsi="仿宋" w:cs="仿宋"/>
                <w:i w:val="0"/>
                <w:color w:val="000000"/>
                <w:kern w:val="0"/>
                <w:sz w:val="24"/>
                <w:szCs w:val="24"/>
                <w:u w:val="none"/>
                <w:lang w:val="en-US" w:eastAsia="zh-CN" w:bidi="ar"/>
              </w:rPr>
              <w:t>(20)</w:t>
            </w: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7A9641">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实施内容</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明确性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8A83CA">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项目内容是否明确、具体，与绩效目标是否匹配。</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C89BE">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E54208">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47B5F1">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r>
      <w:tr w14:paraId="078D611B">
        <w:tblPrEx>
          <w:shd w:val="clear" w:color="auto" w:fill="auto"/>
          <w:tblCellMar>
            <w:top w:w="0" w:type="dxa"/>
            <w:left w:w="0" w:type="dxa"/>
            <w:bottom w:w="0" w:type="dxa"/>
            <w:right w:w="0" w:type="dxa"/>
          </w:tblCellMar>
        </w:tblPrEx>
        <w:trPr>
          <w:trHeight w:val="720"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6A906">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8F0B09">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实施方案</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可行性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CA3F6">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①项目技术路线是否完整、先进、可行、合理，与项目内容及绩效目标是否匹配；②项目组织、进度安排是否合理；③与项目有关的基础设施条件是否能够得以有效保障。</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F8364B">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38BFA">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98C3FC">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r>
      <w:tr w14:paraId="7970B08D">
        <w:tblPrEx>
          <w:shd w:val="clear" w:color="auto" w:fill="auto"/>
          <w:tblCellMar>
            <w:top w:w="0" w:type="dxa"/>
            <w:left w:w="0" w:type="dxa"/>
            <w:bottom w:w="0" w:type="dxa"/>
            <w:right w:w="0" w:type="dxa"/>
          </w:tblCellMar>
        </w:tblPrEx>
        <w:trPr>
          <w:trHeight w:val="477"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8D2ED">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1C787E">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过程控制</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有效性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138669">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①项目申报、审批、调整及项目资金申请、审批、拨付等方面已履行或计划履行的程序是否规范；②项目组织机构是否健全、职责分工是否明确、项目人员条件是否与项目有关并得以有效保障；③业务管理制度、技术规程、标准是否健全、完善，以前年度业务制度执行是否出现过问题，相关业务方面问题是否得到有效解决并配有相应的保障措施；④项目执行过程是否设立管控措施、机制等，相关措施、机制是否能够保证项目顺利实施。</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094D90">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1E5049">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A08D44">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w:t>
            </w:r>
            <w:r>
              <w:rPr>
                <w:rFonts w:hint="eastAsia" w:ascii="仿宋" w:hAnsi="仿宋" w:cs="仿宋"/>
                <w:i w:val="0"/>
                <w:color w:val="000000"/>
                <w:kern w:val="0"/>
                <w:sz w:val="24"/>
                <w:szCs w:val="24"/>
                <w:u w:val="none"/>
                <w:lang w:val="en-US" w:eastAsia="zh-CN" w:bidi="ar"/>
              </w:rPr>
              <w:t>4</w:t>
            </w:r>
          </w:p>
        </w:tc>
      </w:tr>
      <w:tr w14:paraId="339877CC">
        <w:tblPrEx>
          <w:shd w:val="clear" w:color="auto" w:fill="auto"/>
          <w:tblCellMar>
            <w:top w:w="0" w:type="dxa"/>
            <w:left w:w="0" w:type="dxa"/>
            <w:bottom w:w="0" w:type="dxa"/>
            <w:right w:w="0" w:type="dxa"/>
          </w:tblCellMar>
        </w:tblPrEx>
        <w:trPr>
          <w:trHeight w:val="960" w:hRule="atLeast"/>
          <w:jc w:val="center"/>
        </w:trPr>
        <w:tc>
          <w:tcPr>
            <w:tcW w:w="100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CCACDC">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筹资合规性（20）</w:t>
            </w: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E060D2">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筹资合规</w:t>
            </w:r>
            <w:r>
              <w:rPr>
                <w:rStyle w:val="25"/>
                <w:rFonts w:hint="eastAsia" w:ascii="仿宋" w:hAnsi="仿宋" w:eastAsia="仿宋" w:cs="仿宋"/>
                <w:sz w:val="24"/>
                <w:szCs w:val="24"/>
                <w:lang w:val="en-US" w:eastAsia="zh-CN" w:bidi="ar"/>
              </w:rPr>
              <w:t>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A4373">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①资金来源渠道是否符合相关规定；②资金筹</w:t>
            </w:r>
            <w:r>
              <w:rPr>
                <w:rStyle w:val="26"/>
                <w:rFonts w:hint="eastAsia" w:ascii="仿宋" w:hAnsi="仿宋" w:eastAsia="仿宋" w:cs="仿宋"/>
                <w:sz w:val="24"/>
                <w:szCs w:val="24"/>
                <w:lang w:val="en-US" w:eastAsia="zh-CN" w:bidi="ar"/>
              </w:rPr>
              <w:t>措程序是否科学规范，是否经过相关论证，论证资料是否齐全；③资金筹措是否体现权责对等，财权和事权是否匹配；</w:t>
            </w:r>
            <w:r>
              <w:rPr>
                <w:rStyle w:val="25"/>
                <w:rFonts w:hint="eastAsia" w:ascii="仿宋" w:hAnsi="仿宋" w:eastAsia="仿宋" w:cs="仿宋"/>
                <w:sz w:val="24"/>
                <w:szCs w:val="24"/>
                <w:lang w:val="en-US" w:eastAsia="zh-CN" w:bidi="ar"/>
              </w:rPr>
              <w:t>④</w:t>
            </w:r>
            <w:r>
              <w:rPr>
                <w:rStyle w:val="26"/>
                <w:rFonts w:hint="eastAsia" w:ascii="仿宋" w:hAnsi="仿宋" w:eastAsia="仿宋" w:cs="仿宋"/>
                <w:sz w:val="24"/>
                <w:szCs w:val="24"/>
                <w:lang w:val="en-US" w:eastAsia="zh-CN" w:bidi="ar"/>
              </w:rPr>
              <w:t>是否具有公共性，是否属于公共财政支持范围。</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DBF75">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0A971">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C4143">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r>
      <w:tr w14:paraId="393FDD44">
        <w:tblPrEx>
          <w:shd w:val="clear" w:color="auto" w:fill="auto"/>
          <w:tblCellMar>
            <w:top w:w="0" w:type="dxa"/>
            <w:left w:w="0" w:type="dxa"/>
            <w:bottom w:w="0" w:type="dxa"/>
            <w:right w:w="0" w:type="dxa"/>
          </w:tblCellMar>
        </w:tblPrEx>
        <w:trPr>
          <w:trHeight w:val="720"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09E155">
            <w:pPr>
              <w:keepNext w:val="0"/>
              <w:keepLines w:val="0"/>
              <w:pageBreakBefore w:val="0"/>
              <w:kinsoku/>
              <w:wordWrap/>
              <w:overflowPunct/>
              <w:topLinePunct w:val="0"/>
              <w:autoSpaceDE/>
              <w:autoSpaceDN/>
              <w:bidi w:val="0"/>
              <w:adjustRightInd/>
              <w:snapToGrid/>
              <w:spacing w:line="320" w:lineRule="exact"/>
              <w:jc w:val="both"/>
              <w:rPr>
                <w:rFonts w:hint="eastAsia" w:ascii="仿宋" w:hAnsi="仿宋" w:eastAsia="仿宋" w:cs="仿宋"/>
                <w:i w:val="0"/>
                <w:color w:val="000000"/>
                <w:sz w:val="24"/>
                <w:szCs w:val="24"/>
                <w:u w:val="none"/>
              </w:rPr>
            </w:pP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07AA7E">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财政投入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能力</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98DB91">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①市、区财政资金配套方式和承受能力是否科学合理；②各</w:t>
            </w:r>
            <w:r>
              <w:rPr>
                <w:rStyle w:val="26"/>
                <w:rFonts w:hint="eastAsia" w:ascii="仿宋" w:hAnsi="仿宋" w:eastAsia="仿宋" w:cs="仿宋"/>
                <w:sz w:val="24"/>
                <w:szCs w:val="24"/>
                <w:lang w:val="en-US" w:eastAsia="zh-CN" w:bidi="ar"/>
              </w:rPr>
              <w:t>级财政部门和其他部门是否有类似项目资金重复投入；③财政资金支持方式是否科学合理。</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08BBD7">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D87F7D">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ADEAC">
            <w:pPr>
              <w:keepNext w:val="0"/>
              <w:keepLines w:val="0"/>
              <w:pageBreakBefore w:val="0"/>
              <w:kinsoku/>
              <w:wordWrap/>
              <w:overflowPunct/>
              <w:topLinePunct w:val="0"/>
              <w:autoSpaceDE/>
              <w:autoSpaceDN/>
              <w:bidi w:val="0"/>
              <w:adjustRightInd/>
              <w:snapToGrid/>
              <w:spacing w:line="320" w:lineRule="exact"/>
              <w:jc w:val="center"/>
              <w:rPr>
                <w:rFonts w:hint="eastAsia" w:ascii="仿宋" w:hAnsi="仿宋" w:eastAsia="仿宋" w:cs="仿宋"/>
                <w:i w:val="0"/>
                <w:color w:val="000000"/>
                <w:sz w:val="24"/>
                <w:szCs w:val="24"/>
                <w:u w:val="none"/>
              </w:rPr>
            </w:pPr>
          </w:p>
        </w:tc>
      </w:tr>
      <w:tr w14:paraId="60402356">
        <w:tblPrEx>
          <w:shd w:val="clear" w:color="auto" w:fill="auto"/>
          <w:tblCellMar>
            <w:top w:w="0" w:type="dxa"/>
            <w:left w:w="0" w:type="dxa"/>
            <w:bottom w:w="0" w:type="dxa"/>
            <w:right w:w="0" w:type="dxa"/>
          </w:tblCellMar>
        </w:tblPrEx>
        <w:trPr>
          <w:trHeight w:val="480" w:hRule="atLeast"/>
          <w:jc w:val="center"/>
        </w:trPr>
        <w:tc>
          <w:tcPr>
            <w:tcW w:w="10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95EC5">
            <w:pPr>
              <w:keepNext w:val="0"/>
              <w:keepLines w:val="0"/>
              <w:pageBreakBefore w:val="0"/>
              <w:kinsoku/>
              <w:wordWrap/>
              <w:overflowPunct/>
              <w:topLinePunct w:val="0"/>
              <w:autoSpaceDE/>
              <w:autoSpaceDN/>
              <w:bidi w:val="0"/>
              <w:adjustRightInd/>
              <w:snapToGrid/>
              <w:spacing w:line="320" w:lineRule="exact"/>
              <w:jc w:val="both"/>
              <w:rPr>
                <w:rFonts w:hint="eastAsia" w:ascii="仿宋" w:hAnsi="仿宋" w:eastAsia="仿宋" w:cs="仿宋"/>
                <w:i w:val="0"/>
                <w:color w:val="000000"/>
                <w:sz w:val="24"/>
                <w:szCs w:val="24"/>
                <w:u w:val="none"/>
              </w:rPr>
            </w:pPr>
          </w:p>
        </w:tc>
        <w:tc>
          <w:tcPr>
            <w:tcW w:w="1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2CCDC5">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筹资风险</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可控性</w:t>
            </w:r>
          </w:p>
        </w:tc>
        <w:tc>
          <w:tcPr>
            <w:tcW w:w="52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4AA1F4">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①对筹资风险认识是否全面；②是否针对预期风险设定应对措施；③应对措施是否可行、有效。</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7D69D8">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D359BB">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cs="仿宋"/>
                <w:i w:val="0"/>
                <w:color w:val="000000"/>
                <w:kern w:val="0"/>
                <w:sz w:val="24"/>
                <w:szCs w:val="24"/>
                <w:u w:val="none"/>
                <w:lang w:val="en-US" w:eastAsia="zh-CN" w:bidi="ar"/>
              </w:rPr>
              <w:t>3</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83A7EE">
            <w:pPr>
              <w:keepNext w:val="0"/>
              <w:keepLines w:val="0"/>
              <w:pageBreakBefore w:val="0"/>
              <w:kinsoku/>
              <w:wordWrap/>
              <w:overflowPunct/>
              <w:topLinePunct w:val="0"/>
              <w:autoSpaceDE/>
              <w:autoSpaceDN/>
              <w:bidi w:val="0"/>
              <w:adjustRightInd/>
              <w:snapToGrid/>
              <w:spacing w:line="320" w:lineRule="exact"/>
              <w:ind w:left="0" w:leftChars="0" w:firstLine="0" w:firstLineChars="0"/>
              <w:jc w:val="both"/>
              <w:rPr>
                <w:rFonts w:hint="default" w:ascii="仿宋" w:hAnsi="仿宋" w:eastAsia="仿宋" w:cs="仿宋"/>
                <w:i w:val="0"/>
                <w:color w:val="000000"/>
                <w:sz w:val="24"/>
                <w:szCs w:val="24"/>
                <w:u w:val="none"/>
                <w:lang w:val="en-US" w:eastAsia="zh-CN"/>
              </w:rPr>
            </w:pPr>
            <w:r>
              <w:rPr>
                <w:rFonts w:hint="eastAsia" w:ascii="仿宋" w:hAnsi="仿宋" w:cs="仿宋"/>
                <w:i w:val="0"/>
                <w:color w:val="000000"/>
                <w:sz w:val="24"/>
                <w:szCs w:val="24"/>
                <w:u w:val="none"/>
                <w:lang w:val="en-US" w:eastAsia="zh-CN"/>
              </w:rPr>
              <w:t>-2</w:t>
            </w:r>
          </w:p>
        </w:tc>
      </w:tr>
      <w:tr w14:paraId="0F9037C5">
        <w:tblPrEx>
          <w:shd w:val="clear" w:color="auto" w:fill="auto"/>
          <w:tblCellMar>
            <w:top w:w="0" w:type="dxa"/>
            <w:left w:w="0" w:type="dxa"/>
            <w:bottom w:w="0" w:type="dxa"/>
            <w:right w:w="0" w:type="dxa"/>
          </w:tblCellMar>
        </w:tblPrEx>
        <w:trPr>
          <w:trHeight w:val="270" w:hRule="atLeast"/>
          <w:jc w:val="center"/>
        </w:trPr>
        <w:tc>
          <w:tcPr>
            <w:tcW w:w="771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44A60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合计</w:t>
            </w:r>
          </w:p>
        </w:tc>
        <w:tc>
          <w:tcPr>
            <w:tcW w:w="5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DDB0F2">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1145C8">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r>
              <w:rPr>
                <w:rFonts w:hint="eastAsia" w:ascii="仿宋" w:hAnsi="仿宋" w:cs="仿宋"/>
                <w:i w:val="0"/>
                <w:color w:val="000000"/>
                <w:kern w:val="0"/>
                <w:sz w:val="24"/>
                <w:szCs w:val="24"/>
                <w:u w:val="none"/>
                <w:lang w:val="en-US" w:eastAsia="zh-CN" w:bidi="ar"/>
              </w:rPr>
              <w:t>8</w:t>
            </w:r>
          </w:p>
        </w:tc>
        <w:tc>
          <w:tcPr>
            <w:tcW w:w="5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77EF5">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r>
              <w:rPr>
                <w:rFonts w:hint="eastAsia" w:ascii="仿宋" w:hAnsi="仿宋" w:cs="仿宋"/>
                <w:i w:val="0"/>
                <w:color w:val="000000"/>
                <w:kern w:val="0"/>
                <w:sz w:val="24"/>
                <w:szCs w:val="24"/>
                <w:u w:val="none"/>
                <w:lang w:val="en-US" w:eastAsia="zh-CN" w:bidi="ar"/>
              </w:rPr>
              <w:t>2</w:t>
            </w:r>
          </w:p>
        </w:tc>
      </w:tr>
    </w:tbl>
    <w:p w14:paraId="5E12D409">
      <w:pPr>
        <w:bidi w:val="0"/>
        <w:ind w:left="0" w:leftChars="0" w:firstLine="0" w:firstLineChars="0"/>
        <w:rPr>
          <w:rFonts w:hint="eastAsia"/>
          <w:b/>
          <w:bCs/>
        </w:rPr>
      </w:pPr>
      <w:r>
        <w:rPr>
          <w:rFonts w:hint="eastAsia"/>
          <w:b/>
          <w:bCs/>
          <w:lang w:eastAsia="zh-CN"/>
        </w:rPr>
        <w:t>各指标评分说明如下：</w:t>
      </w:r>
    </w:p>
    <w:p w14:paraId="58CF9C67">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（1）立项必要性指标</w:t>
      </w:r>
    </w:p>
    <w:p w14:paraId="3057BE18">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本指标权重分为20分，实际得分20分，得分率100%。本项目立项与预算单位职能相关，项目的实施与宁河区绿环养管的现实需求相符；项目的立项决策文件齐全，程序合规。</w:t>
      </w:r>
    </w:p>
    <w:p w14:paraId="08824245">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（2）投入经济性指标</w:t>
      </w:r>
    </w:p>
    <w:p w14:paraId="12568FC1">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本指标权重分为20分，实际得分17分，得分率85%。</w:t>
      </w:r>
    </w:p>
    <w:p w14:paraId="0F36CA75">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本指标投入产出比较为合理；没有财政资金重复支持类似项目；项目投入与预期目标是基本一致；资金测算较为充分。但成本控制措施不够完善，“成本控制措施有效性”指标分扣3分。</w:t>
      </w:r>
    </w:p>
    <w:p w14:paraId="5866E52E">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（3）绩效目标合理性指标</w:t>
      </w:r>
    </w:p>
    <w:p w14:paraId="31AEEF8F">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本指标权重分为20分，实际得分17分，得分率85%。</w:t>
      </w:r>
    </w:p>
    <w:p w14:paraId="3423F4E7">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评估组通过查阅和分析本项目绩效申报表目标可知，宁河区林业局依据项目运营方案等相关文件填写了本项目目标申报材料，本项目的项目绩效目标依据较为充分，符合客观实际，基本能用于考核绩效目标与项目实施的相符情况，但“日常维护计划完成率”“补苗率”等指标不够明确，产出质量指标设置不够细化，该类指标需要量化。根据指标评分标准，“目标明确性”扣3分。</w:t>
      </w:r>
    </w:p>
    <w:p w14:paraId="3C503315">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（4）实施方案可行性指标</w:t>
      </w:r>
    </w:p>
    <w:p w14:paraId="5752E6F9">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本指标权重分为20分，实际得分16分，得分率80%。</w:t>
      </w:r>
    </w:p>
    <w:p w14:paraId="43AB2A65">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项目实施方案技术路线完整、先进，与项目实施内容及绩效目标匹配；但在项目组织、进度安排，项目有效的过程控制措施不完善，指标“过程控制有效性”扣4分。</w:t>
      </w:r>
    </w:p>
    <w:p w14:paraId="2DCA5619">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（5）筹资合规性指标</w:t>
      </w:r>
    </w:p>
    <w:p w14:paraId="2302202F">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本指标权重分为20分，实际得分18分，得分率90%。</w:t>
      </w:r>
    </w:p>
    <w:p w14:paraId="3F4EC61D">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通过分析预算单位提供的项目实施方案及资金管理制度，本项目为一般公共预算资金，满足“筹资合规性”、“财政投入能力”、但“筹资风险可控性”未充分评估财政投入的能力，扣2分。</w:t>
      </w:r>
    </w:p>
    <w:p w14:paraId="68E67431">
      <w:pPr>
        <w:pStyle w:val="4"/>
        <w:pageBreakBefore w:val="0"/>
        <w:widowControl w:val="0"/>
        <w:kinsoku/>
        <w:wordWrap/>
        <w:overflowPunct/>
        <w:topLinePunct w:val="0"/>
        <w:autoSpaceDE/>
        <w:autoSpaceDN/>
        <w:bidi w:val="0"/>
        <w:adjustRightInd/>
        <w:spacing w:line="500" w:lineRule="exact"/>
        <w:textAlignment w:val="auto"/>
        <w:rPr>
          <w:rFonts w:hint="eastAsia"/>
        </w:rPr>
      </w:pPr>
      <w:bookmarkStart w:id="158" w:name="_Toc4550"/>
      <w:r>
        <w:rPr>
          <w:rFonts w:hint="eastAsia"/>
        </w:rPr>
        <w:t>（</w:t>
      </w:r>
      <w:r>
        <w:rPr>
          <w:rFonts w:hint="eastAsia"/>
          <w:lang w:eastAsia="zh-CN"/>
        </w:rPr>
        <w:t>九</w:t>
      </w:r>
      <w:r>
        <w:rPr>
          <w:rFonts w:hint="eastAsia"/>
        </w:rPr>
        <w:t>）评估结论</w:t>
      </w:r>
      <w:bookmarkEnd w:id="153"/>
      <w:bookmarkEnd w:id="154"/>
      <w:bookmarkEnd w:id="155"/>
      <w:bookmarkEnd w:id="156"/>
      <w:bookmarkEnd w:id="157"/>
      <w:bookmarkEnd w:id="158"/>
    </w:p>
    <w:p w14:paraId="1C306558">
      <w:pPr>
        <w:bidi w:val="0"/>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综上所述，我们采用综合评分法，分析了“立项的必要性、投入的经济性、绩效目标的合理性、方案的可行性、筹资合规性”，得出本项目事前绩效评估实际得分为88分，经评估本项目总体可行，建议调整完善后予以支持。预算单位原申报预算金额为2300万元，经评估，2023年建议金额为500万元。</w:t>
      </w:r>
    </w:p>
    <w:p w14:paraId="5F7E5247">
      <w:pPr>
        <w:pStyle w:val="3"/>
        <w:pageBreakBefore w:val="0"/>
        <w:widowControl w:val="0"/>
        <w:kinsoku/>
        <w:wordWrap/>
        <w:overflowPunct/>
        <w:topLinePunct w:val="0"/>
        <w:autoSpaceDE/>
        <w:autoSpaceDN/>
        <w:bidi w:val="0"/>
        <w:adjustRightInd/>
        <w:snapToGrid/>
        <w:spacing w:line="500" w:lineRule="exact"/>
        <w:textAlignment w:val="auto"/>
        <w:rPr>
          <w:rFonts w:hint="eastAsia"/>
        </w:rPr>
      </w:pPr>
      <w:bookmarkStart w:id="159" w:name="_Toc18459"/>
      <w:bookmarkStart w:id="160" w:name="_Toc7123"/>
      <w:bookmarkStart w:id="161" w:name="_Toc4875"/>
      <w:bookmarkStart w:id="162" w:name="_Toc13018"/>
      <w:bookmarkStart w:id="163" w:name="_Toc8311"/>
      <w:bookmarkStart w:id="164" w:name="_Toc31094"/>
      <w:bookmarkStart w:id="165" w:name="_Toc2530"/>
      <w:r>
        <w:rPr>
          <w:rFonts w:hint="eastAsia"/>
          <w:lang w:eastAsia="zh-CN"/>
        </w:rPr>
        <w:t>三</w:t>
      </w:r>
      <w:r>
        <w:rPr>
          <w:rFonts w:hint="eastAsia"/>
        </w:rPr>
        <w:t>、</w:t>
      </w:r>
      <w:r>
        <w:rPr>
          <w:rFonts w:hint="eastAsia"/>
          <w:lang w:eastAsia="zh-CN"/>
        </w:rPr>
        <w:t>问题与相关</w:t>
      </w:r>
      <w:r>
        <w:rPr>
          <w:rFonts w:hint="eastAsia"/>
        </w:rPr>
        <w:t>建议</w:t>
      </w:r>
      <w:bookmarkEnd w:id="159"/>
      <w:bookmarkEnd w:id="160"/>
    </w:p>
    <w:p w14:paraId="517E1439">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lang w:eastAsia="zh-CN"/>
        </w:rPr>
      </w:pPr>
      <w:bookmarkStart w:id="166" w:name="_Toc11579"/>
      <w:bookmarkStart w:id="167" w:name="_Toc16182"/>
      <w:r>
        <w:rPr>
          <w:rFonts w:hint="eastAsia"/>
          <w:lang w:eastAsia="zh-CN"/>
        </w:rPr>
        <w:t>（一）存在问题</w:t>
      </w:r>
      <w:bookmarkEnd w:id="166"/>
      <w:bookmarkEnd w:id="167"/>
    </w:p>
    <w:p w14:paraId="0FEC5FF3">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1.绩效目标设置不完善</w:t>
      </w:r>
    </w:p>
    <w:p w14:paraId="1CA60D6B">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“产出数量”“产出质量”指标不合理。未设置“苗木设施完好率”、“日常养护计划完成率”、“绿化覆盖率”等核心指标。</w:t>
      </w:r>
    </w:p>
    <w:p w14:paraId="279FC420">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2.未明确绿环养管服务质量验收标准。未提供与项目有关的监管制度。</w:t>
      </w:r>
    </w:p>
    <w:p w14:paraId="57B41979">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3.未提供资金专款专用的管理制度。</w:t>
      </w:r>
    </w:p>
    <w:p w14:paraId="48E48245">
      <w:pPr>
        <w:bidi w:val="0"/>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4.未提供项目组成人员的职能及职责。</w:t>
      </w:r>
    </w:p>
    <w:p w14:paraId="3C3244AA">
      <w:pPr>
        <w:pStyle w:val="4"/>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lang w:val="en-US" w:eastAsia="zh-CN"/>
        </w:rPr>
      </w:pPr>
      <w:bookmarkStart w:id="168" w:name="_Toc5231"/>
      <w:bookmarkStart w:id="169" w:name="_Toc24855"/>
      <w:r>
        <w:rPr>
          <w:rFonts w:hint="eastAsia" w:ascii="宋体" w:hAnsi="宋体" w:cs="宋体"/>
          <w:lang w:val="en-US" w:eastAsia="zh-CN"/>
        </w:rPr>
        <w:t>（二）相关建议</w:t>
      </w:r>
      <w:bookmarkEnd w:id="168"/>
      <w:bookmarkEnd w:id="169"/>
    </w:p>
    <w:p w14:paraId="0EECF7B1">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1.完善绩效目标设置</w:t>
      </w:r>
    </w:p>
    <w:p w14:paraId="58D242F0">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建议完善“产出数量”“产出质量”指标。设置“苗木设施完好率”、“日常养护计划完成率”、“绿化覆盖率”等核心指标。可探索经济效益“碳汇经济”指标。</w:t>
      </w:r>
    </w:p>
    <w:p w14:paraId="5AFC57D9">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2.建议明确明确绿环养管服务质量验收标准。制定与项目有关的监管制度。</w:t>
      </w:r>
    </w:p>
    <w:p w14:paraId="13005C8C">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3.建议明确对预算资金“专款专用”的保证措施，并进行“专项核算”，并严格按照项目合同、协议等约定规范使用项目资金，以保证财政资金的安全。</w:t>
      </w:r>
    </w:p>
    <w:p w14:paraId="68B1D523">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4.建议预算单位明确项目的“组织保证、人员监督保证、追责制度”等保证措施，确保民生项目发挥其生态与社会效应。</w:t>
      </w:r>
    </w:p>
    <w:p w14:paraId="3A9C0427">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5.建议每年对本项目的运维进行验收评价和绩效评价，以有效确认本项目主要绩效目标的实现程度。</w:t>
      </w:r>
    </w:p>
    <w:bookmarkEnd w:id="161"/>
    <w:bookmarkEnd w:id="162"/>
    <w:bookmarkEnd w:id="163"/>
    <w:bookmarkEnd w:id="164"/>
    <w:bookmarkEnd w:id="165"/>
    <w:p w14:paraId="6EA63EED">
      <w:pPr>
        <w:pStyle w:val="3"/>
        <w:bidi w:val="0"/>
        <w:rPr>
          <w:rFonts w:hint="eastAsia"/>
        </w:rPr>
      </w:pPr>
      <w:bookmarkStart w:id="170" w:name="_Toc20041"/>
      <w:bookmarkStart w:id="171" w:name="_Toc3914"/>
      <w:bookmarkStart w:id="172" w:name="_Toc15097"/>
      <w:bookmarkStart w:id="173" w:name="_Toc6144"/>
      <w:bookmarkStart w:id="174" w:name="_Toc3622"/>
      <w:bookmarkStart w:id="175" w:name="_Toc9399"/>
      <w:r>
        <w:rPr>
          <w:rFonts w:hint="eastAsia"/>
          <w:lang w:eastAsia="zh-CN"/>
        </w:rPr>
        <w:t>四</w:t>
      </w:r>
      <w:r>
        <w:rPr>
          <w:rFonts w:hint="eastAsia"/>
        </w:rPr>
        <w:t>、说明</w:t>
      </w:r>
      <w:bookmarkEnd w:id="170"/>
      <w:bookmarkEnd w:id="171"/>
      <w:bookmarkEnd w:id="172"/>
      <w:bookmarkEnd w:id="173"/>
      <w:bookmarkEnd w:id="174"/>
      <w:bookmarkEnd w:id="175"/>
    </w:p>
    <w:p w14:paraId="2C782D95">
      <w:pPr>
        <w:pStyle w:val="4"/>
        <w:bidi w:val="0"/>
        <w:ind w:left="0" w:leftChars="0" w:firstLine="320" w:firstLineChars="100"/>
        <w:outlineLvl w:val="1"/>
        <w:rPr>
          <w:rFonts w:hint="eastAsia"/>
        </w:rPr>
      </w:pPr>
      <w:bookmarkStart w:id="176" w:name="_Toc30919"/>
      <w:bookmarkStart w:id="177" w:name="_Toc3561"/>
      <w:bookmarkStart w:id="178" w:name="_Toc29221"/>
      <w:bookmarkStart w:id="179" w:name="_Toc18968"/>
      <w:bookmarkStart w:id="180" w:name="_Toc1283"/>
      <w:bookmarkStart w:id="181" w:name="_Toc15877"/>
      <w:bookmarkStart w:id="182" w:name="_Toc128"/>
      <w:bookmarkStart w:id="183" w:name="_Toc18408"/>
      <w:bookmarkStart w:id="184" w:name="_Toc19063"/>
      <w:bookmarkStart w:id="185" w:name="_Toc15115"/>
      <w:bookmarkStart w:id="186" w:name="_Toc21527"/>
      <w:bookmarkStart w:id="187" w:name="_Toc1019"/>
      <w:r>
        <w:rPr>
          <w:rFonts w:hint="eastAsia"/>
          <w:lang w:eastAsia="zh-CN"/>
        </w:rPr>
        <w:t>（一）</w:t>
      </w:r>
      <w:r>
        <w:rPr>
          <w:rFonts w:hint="eastAsia"/>
        </w:rPr>
        <w:t>本次事前评估的局限性</w:t>
      </w:r>
      <w:bookmarkEnd w:id="176"/>
      <w:bookmarkEnd w:id="177"/>
      <w:bookmarkEnd w:id="178"/>
      <w:bookmarkEnd w:id="179"/>
      <w:bookmarkEnd w:id="180"/>
      <w:bookmarkEnd w:id="181"/>
      <w:bookmarkEnd w:id="182"/>
    </w:p>
    <w:p w14:paraId="7B46458A">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本次评估受制于搜集资料完备程度的影响，评估分析基于对项目历史情况、现有设施设备和财政投入水平基本保持现状的假设预期，故评估结论仅作为宁河区财政局对本项目作出预算决策的参考意见。本评估意见不能代替应由预算单位自行开展的项目论证。</w:t>
      </w:r>
    </w:p>
    <w:p w14:paraId="1C572CBE">
      <w:pPr>
        <w:pStyle w:val="4"/>
        <w:bidi w:val="0"/>
        <w:ind w:left="0" w:leftChars="0" w:firstLine="320" w:firstLineChars="100"/>
        <w:outlineLvl w:val="1"/>
        <w:rPr>
          <w:rFonts w:hint="eastAsia"/>
          <w:lang w:val="en-US" w:eastAsia="zh-CN"/>
        </w:rPr>
      </w:pPr>
      <w:bookmarkStart w:id="188" w:name="_Toc15835"/>
      <w:bookmarkStart w:id="189" w:name="_Toc23223"/>
      <w:r>
        <w:rPr>
          <w:rFonts w:hint="eastAsia"/>
          <w:lang w:eastAsia="zh-CN"/>
        </w:rPr>
        <w:t>（二）</w:t>
      </w:r>
      <w:r>
        <w:rPr>
          <w:rFonts w:hint="eastAsia"/>
          <w:lang w:val="en-US" w:eastAsia="zh-CN"/>
        </w:rPr>
        <w:t>其他需要说明的问题</w:t>
      </w:r>
      <w:bookmarkEnd w:id="188"/>
      <w:bookmarkEnd w:id="189"/>
    </w:p>
    <w:p w14:paraId="7E70B724">
      <w:pPr>
        <w:pStyle w:val="5"/>
        <w:bidi w:val="0"/>
        <w:rPr>
          <w:rFonts w:hint="eastAsia"/>
          <w:lang w:val="en-US" w:eastAsia="zh-CN"/>
        </w:rPr>
      </w:pPr>
      <w:bookmarkStart w:id="190" w:name="_Toc31462"/>
      <w:bookmarkStart w:id="191" w:name="_Toc16288"/>
      <w:r>
        <w:rPr>
          <w:rFonts w:hint="eastAsia"/>
          <w:lang w:val="en-US" w:eastAsia="zh-CN"/>
        </w:rPr>
        <w:t>1.出具评估报告的前提及限制</w:t>
      </w:r>
      <w:bookmarkEnd w:id="190"/>
      <w:bookmarkEnd w:id="191"/>
    </w:p>
    <w:p w14:paraId="37AD882C">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（1）所有相关主体提交给本公司的文件均是真实的，所有提交文件的复印件与其原件均是一致的；</w:t>
      </w:r>
    </w:p>
    <w:p w14:paraId="33C1F0EB">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（2）所有相关主体提交给本公司的文件均由相关当事方合法授权，签订和递交；</w:t>
      </w:r>
    </w:p>
    <w:p w14:paraId="181DA826">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（3）所有相关主体提交给本公司的文件上的签字、印章均是真实的；</w:t>
      </w:r>
    </w:p>
    <w:p w14:paraId="52B518BC">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（4）所有相关主体对本公司做出的有关事实阐述、声明、保证（书面及口头保证）均是真实、准确和可靠的；</w:t>
      </w:r>
    </w:p>
    <w:p w14:paraId="1ED4F607">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（5）描述或引用法律问题时设计的事实、信息和数据均是截至本评估报告出具之日相关主体提供给本公司的、受限于前述规定的有效事实和数据；</w:t>
      </w:r>
    </w:p>
    <w:p w14:paraId="329A9F0C">
      <w:pPr>
        <w:bidi w:val="0"/>
        <w:rPr>
          <w:rFonts w:hint="eastAsia" w:ascii="Times New Roman" w:hAnsi="Times New Roman" w:eastAsia="仿宋_GB2312" w:cs="Times New Roman"/>
          <w:lang w:val="en-US" w:eastAsia="zh-CN"/>
        </w:rPr>
      </w:pPr>
      <w:bookmarkStart w:id="192" w:name="_Toc20768"/>
      <w:bookmarkStart w:id="193" w:name="_Toc2796"/>
      <w:r>
        <w:rPr>
          <w:rFonts w:hint="eastAsia" w:ascii="Times New Roman" w:hAnsi="Times New Roman" w:eastAsia="仿宋_GB2312" w:cs="Times New Roman"/>
          <w:lang w:val="en-US" w:eastAsia="zh-CN"/>
        </w:rPr>
        <w:t>2.声明事项</w:t>
      </w:r>
      <w:bookmarkEnd w:id="192"/>
      <w:bookmarkEnd w:id="193"/>
    </w:p>
    <w:p w14:paraId="334C9771">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（1）在本评估报告中对有关数据或结论的引述，并不意味着本公司对这些数据、结论的真实性做出任何明示或默示性保证。</w:t>
      </w:r>
    </w:p>
    <w:p w14:paraId="7AB3AFFC">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（2）本公司及经办人员已严格履行了法定职责，遵循了勤勉尽责和诚实信用原则。所发表的结论性意见合法、准确，不存在虚假记载、误导性陈述或者重大遗漏。</w:t>
      </w:r>
    </w:p>
    <w:p w14:paraId="574AAC0B">
      <w:pPr>
        <w:bidi w:val="0"/>
        <w:rPr>
          <w:rFonts w:hint="default" w:ascii="Times New Roman" w:hAnsi="Times New Roman" w:eastAsia="仿宋_GB2312" w:cs="Times New Roman"/>
          <w:lang w:val="en-US" w:eastAsia="zh-CN"/>
        </w:rPr>
      </w:pPr>
      <w:r>
        <w:rPr>
          <w:rFonts w:hint="eastAsia" w:ascii="Times New Roman" w:hAnsi="Times New Roman" w:eastAsia="仿宋_GB2312" w:cs="Times New Roman"/>
          <w:lang w:val="en-US" w:eastAsia="zh-CN"/>
        </w:rPr>
        <w:t>（3）本评估报告仅供宁河区财政局审核预算提供参考依据之目的使用，非经本公司书面同意，不得用做其他任何目的。</w:t>
      </w:r>
    </w:p>
    <w:p w14:paraId="661A1E31">
      <w:pPr>
        <w:pStyle w:val="3"/>
        <w:bidi w:val="0"/>
        <w:rPr>
          <w:rFonts w:hint="eastAsia"/>
        </w:rPr>
      </w:pPr>
      <w:bookmarkStart w:id="194" w:name="_Toc20430"/>
      <w:r>
        <w:rPr>
          <w:rFonts w:hint="eastAsia"/>
          <w:lang w:eastAsia="zh-CN"/>
        </w:rPr>
        <w:t>五</w:t>
      </w:r>
      <w:r>
        <w:rPr>
          <w:rFonts w:hint="eastAsia"/>
        </w:rPr>
        <w:t>、附件</w:t>
      </w:r>
      <w:bookmarkEnd w:id="183"/>
      <w:bookmarkEnd w:id="184"/>
      <w:bookmarkEnd w:id="185"/>
      <w:bookmarkEnd w:id="186"/>
      <w:bookmarkEnd w:id="187"/>
      <w:bookmarkEnd w:id="194"/>
    </w:p>
    <w:p w14:paraId="35D928B2">
      <w:pPr>
        <w:bidi w:val="0"/>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项目支出绩效目标申报表</w:t>
      </w:r>
    </w:p>
    <w:p w14:paraId="364F32F8">
      <w:pPr>
        <w:bidi w:val="0"/>
        <w:rPr>
          <w:rFonts w:hint="eastAsia" w:ascii="Times New Roman" w:hAnsi="Times New Roman" w:eastAsia="仿宋_GB2312" w:cs="Times New Roman"/>
          <w:lang w:val="en-US" w:eastAsia="zh-CN"/>
        </w:rPr>
      </w:pPr>
    </w:p>
    <w:p w14:paraId="2266CF3A">
      <w:pPr>
        <w:keepNext w:val="0"/>
        <w:keepLines w:val="0"/>
        <w:pageBreakBefore w:val="0"/>
        <w:kinsoku/>
        <w:wordWrap/>
        <w:overflowPunct/>
        <w:topLinePunct w:val="0"/>
        <w:autoSpaceDE/>
        <w:autoSpaceDN/>
        <w:bidi w:val="0"/>
        <w:adjustRightInd/>
        <w:snapToGrid w:val="0"/>
        <w:spacing w:line="600" w:lineRule="exact"/>
        <w:ind w:left="0" w:leftChars="0" w:firstLine="0" w:firstLineChars="0"/>
        <w:jc w:val="left"/>
        <w:textAlignment w:val="auto"/>
        <w:outlineLvl w:val="9"/>
        <w:rPr>
          <w:rFonts w:hint="eastAsia" w:ascii="黑体" w:hAnsi="黑体" w:eastAsia="黑体" w:cs="黑体"/>
          <w:snapToGrid w:val="0"/>
          <w:sz w:val="32"/>
          <w:szCs w:val="32"/>
          <w:lang w:val="en-US" w:eastAsia="zh-CN" w:bidi="ar"/>
        </w:rPr>
      </w:pPr>
    </w:p>
    <w:p w14:paraId="09E8464A">
      <w:pPr>
        <w:keepNext w:val="0"/>
        <w:keepLines w:val="0"/>
        <w:pageBreakBefore w:val="0"/>
        <w:kinsoku/>
        <w:wordWrap/>
        <w:overflowPunct/>
        <w:topLinePunct w:val="0"/>
        <w:autoSpaceDE/>
        <w:autoSpaceDN/>
        <w:bidi w:val="0"/>
        <w:adjustRightInd/>
        <w:snapToGrid w:val="0"/>
        <w:spacing w:line="600" w:lineRule="exact"/>
        <w:ind w:left="0" w:leftChars="0" w:firstLine="0" w:firstLineChars="0"/>
        <w:jc w:val="left"/>
        <w:textAlignment w:val="auto"/>
        <w:outlineLvl w:val="9"/>
        <w:rPr>
          <w:rFonts w:hint="eastAsia" w:ascii="黑体" w:hAnsi="黑体" w:eastAsia="黑体" w:cs="黑体"/>
          <w:snapToGrid w:val="0"/>
          <w:sz w:val="32"/>
          <w:szCs w:val="32"/>
          <w:lang w:val="en-US" w:eastAsia="zh-CN" w:bidi="ar"/>
        </w:rPr>
      </w:pPr>
    </w:p>
    <w:p w14:paraId="5ABD1B1D">
      <w:pPr>
        <w:keepNext w:val="0"/>
        <w:keepLines w:val="0"/>
        <w:pageBreakBefore w:val="0"/>
        <w:kinsoku/>
        <w:wordWrap/>
        <w:overflowPunct/>
        <w:topLinePunct w:val="0"/>
        <w:autoSpaceDE/>
        <w:autoSpaceDN/>
        <w:bidi w:val="0"/>
        <w:adjustRightInd/>
        <w:snapToGrid w:val="0"/>
        <w:spacing w:line="600" w:lineRule="exact"/>
        <w:ind w:left="0" w:leftChars="0" w:firstLine="0" w:firstLineChars="0"/>
        <w:jc w:val="left"/>
        <w:textAlignment w:val="auto"/>
        <w:outlineLvl w:val="9"/>
        <w:rPr>
          <w:rFonts w:hint="default" w:ascii="黑体" w:hAnsi="黑体" w:eastAsia="黑体" w:cs="黑体"/>
          <w:snapToGrid w:val="0"/>
          <w:sz w:val="32"/>
          <w:szCs w:val="32"/>
          <w:lang w:val="en-US" w:eastAsia="zh-CN" w:bidi="ar"/>
        </w:rPr>
      </w:pPr>
      <w:r>
        <w:rPr>
          <w:rFonts w:hint="eastAsia" w:ascii="黑体" w:hAnsi="黑体" w:eastAsia="黑体" w:cs="黑体"/>
          <w:snapToGrid w:val="0"/>
          <w:sz w:val="32"/>
          <w:szCs w:val="32"/>
          <w:lang w:val="en-US" w:eastAsia="zh-CN" w:bidi="ar"/>
        </w:rPr>
        <w:t>第三方评估机构：</w:t>
      </w:r>
      <w:r>
        <w:rPr>
          <w:rFonts w:hint="eastAsia"/>
          <w:lang w:val="en-US" w:eastAsia="zh-CN"/>
        </w:rPr>
        <w:t>立信中联会计师事务所（特殊普通合伙）</w:t>
      </w:r>
    </w:p>
    <w:p w14:paraId="3E4F179A">
      <w:pPr>
        <w:keepNext w:val="0"/>
        <w:keepLines w:val="0"/>
        <w:pageBreakBefore w:val="0"/>
        <w:kinsoku/>
        <w:wordWrap/>
        <w:overflowPunct/>
        <w:topLinePunct w:val="0"/>
        <w:autoSpaceDE/>
        <w:autoSpaceDN/>
        <w:bidi w:val="0"/>
        <w:adjustRightInd/>
        <w:snapToGrid w:val="0"/>
        <w:spacing w:line="600" w:lineRule="exact"/>
        <w:ind w:firstLine="704" w:firstLineChars="220"/>
        <w:jc w:val="center"/>
        <w:textAlignment w:val="auto"/>
        <w:outlineLvl w:val="9"/>
        <w:rPr>
          <w:rFonts w:hint="eastAsia" w:ascii="黑体" w:hAnsi="黑体" w:eastAsia="黑体" w:cs="黑体"/>
          <w:snapToGrid w:val="0"/>
          <w:sz w:val="32"/>
          <w:szCs w:val="32"/>
          <w:lang w:val="en-US" w:eastAsia="zh-CN" w:bidi="ar"/>
        </w:rPr>
      </w:pPr>
      <w:r>
        <w:rPr>
          <w:rFonts w:hint="eastAsia" w:ascii="黑体" w:hAnsi="黑体" w:eastAsia="黑体" w:cs="黑体"/>
          <w:snapToGrid w:val="0"/>
          <w:sz w:val="32"/>
          <w:szCs w:val="32"/>
          <w:lang w:val="en-US" w:eastAsia="zh-CN" w:bidi="ar"/>
        </w:rPr>
        <w:t xml:space="preserve">         </w:t>
      </w:r>
      <w:r>
        <w:rPr>
          <w:rFonts w:hint="eastAsia" w:ascii="黑体" w:hAnsi="黑体" w:eastAsia="黑体" w:cs="黑体"/>
          <w:snapToGrid w:val="0"/>
          <w:sz w:val="32"/>
          <w:szCs w:val="32"/>
          <w:lang w:eastAsia="zh-CN" w:bidi="ar"/>
        </w:rPr>
        <w:t>（盖章）</w:t>
      </w:r>
    </w:p>
    <w:p w14:paraId="74663FAC">
      <w:pPr>
        <w:pStyle w:val="2"/>
        <w:ind w:left="0" w:leftChars="0" w:firstLine="0" w:firstLineChars="0"/>
        <w:rPr>
          <w:rFonts w:hint="eastAsia"/>
          <w:lang w:val="en-US" w:eastAsia="zh-CN"/>
        </w:rPr>
      </w:pPr>
    </w:p>
    <w:p w14:paraId="71045E94">
      <w:pPr>
        <w:keepNext w:val="0"/>
        <w:keepLines w:val="0"/>
        <w:pageBreakBefore w:val="0"/>
        <w:kinsoku/>
        <w:wordWrap/>
        <w:overflowPunct/>
        <w:topLinePunct w:val="0"/>
        <w:autoSpaceDE/>
        <w:autoSpaceDN/>
        <w:bidi w:val="0"/>
        <w:adjustRightInd/>
        <w:snapToGrid w:val="0"/>
        <w:spacing w:line="600" w:lineRule="exact"/>
        <w:ind w:left="0" w:leftChars="0" w:firstLine="0" w:firstLineChars="0"/>
        <w:jc w:val="both"/>
        <w:textAlignment w:val="auto"/>
        <w:outlineLvl w:val="9"/>
        <w:rPr>
          <w:rFonts w:hint="eastAsia" w:ascii="黑体" w:hAnsi="黑体" w:eastAsia="黑体" w:cs="黑体"/>
          <w:snapToGrid w:val="0"/>
          <w:sz w:val="32"/>
          <w:szCs w:val="32"/>
          <w:highlight w:val="none"/>
          <w:lang w:val="en-US" w:eastAsia="zh-CN" w:bidi="ar"/>
        </w:rPr>
      </w:pPr>
      <w:r>
        <w:rPr>
          <w:rFonts w:hint="eastAsia" w:ascii="黑体" w:hAnsi="黑体" w:eastAsia="黑体" w:cs="黑体"/>
          <w:snapToGrid w:val="0"/>
          <w:sz w:val="32"/>
          <w:szCs w:val="32"/>
          <w:highlight w:val="none"/>
          <w:lang w:val="en-US" w:eastAsia="zh-CN" w:bidi="ar"/>
        </w:rPr>
        <w:t>日期 ：</w:t>
      </w:r>
      <w:r>
        <w:rPr>
          <w:rFonts w:hint="eastAsia"/>
          <w:lang w:val="en-US" w:eastAsia="zh-CN"/>
        </w:rPr>
        <w:t>二零二二年十一月二十六日</w:t>
      </w:r>
    </w:p>
    <w:p w14:paraId="0AF70D38">
      <w:pPr>
        <w:pStyle w:val="2"/>
        <w:ind w:left="0" w:leftChars="0" w:firstLine="0" w:firstLineChars="0"/>
        <w:rPr>
          <w:rFonts w:hint="eastAsia" w:ascii="黑体" w:hAnsi="黑体" w:eastAsia="黑体" w:cs="黑体"/>
          <w:snapToGrid w:val="0"/>
          <w:sz w:val="32"/>
          <w:szCs w:val="32"/>
          <w:highlight w:val="yellow"/>
          <w:lang w:val="en-US" w:eastAsia="zh-CN" w:bidi="ar"/>
        </w:rPr>
      </w:pPr>
    </w:p>
    <w:p w14:paraId="5512BD94">
      <w:pPr>
        <w:ind w:left="0" w:leftChars="0" w:firstLine="0" w:firstLineChars="0"/>
        <w:rPr>
          <w:rFonts w:hint="eastAsia"/>
          <w:lang w:val="en-US" w:eastAsia="zh-CN"/>
        </w:rPr>
      </w:pPr>
    </w:p>
    <w:p w14:paraId="5096D73D">
      <w:pPr>
        <w:keepNext w:val="0"/>
        <w:keepLines w:val="0"/>
        <w:pageBreakBefore w:val="0"/>
        <w:kinsoku/>
        <w:wordWrap/>
        <w:overflowPunct/>
        <w:topLinePunct w:val="0"/>
        <w:autoSpaceDE/>
        <w:autoSpaceDN/>
        <w:bidi w:val="0"/>
        <w:adjustRightInd/>
        <w:snapToGrid w:val="0"/>
        <w:spacing w:line="600" w:lineRule="exact"/>
        <w:ind w:left="0" w:leftChars="0" w:firstLine="0" w:firstLineChars="0"/>
        <w:jc w:val="both"/>
        <w:textAlignment w:val="auto"/>
        <w:outlineLvl w:val="9"/>
        <w:rPr>
          <w:rFonts w:hint="eastAsia"/>
          <w:lang w:val="en-US" w:eastAsia="zh-CN"/>
        </w:rPr>
      </w:pPr>
      <w:r>
        <w:rPr>
          <w:rFonts w:hint="eastAsia"/>
          <w:lang w:val="en-US" w:eastAsia="zh-CN"/>
        </w:rPr>
        <w:t>（以下为附件）</w:t>
      </w:r>
    </w:p>
    <w:p w14:paraId="2B3D8071">
      <w:pPr>
        <w:ind w:left="0" w:leftChars="0" w:firstLine="0" w:firstLineChars="0"/>
        <w:rPr>
          <w:rFonts w:hint="eastAsia"/>
          <w:lang w:val="en-US" w:eastAsia="zh-CN"/>
        </w:rPr>
      </w:pPr>
      <w:r>
        <w:rPr>
          <w:rFonts w:hint="eastAsia" w:ascii="黑体" w:hAnsi="黑体" w:eastAsia="黑体" w:cs="黑体"/>
          <w:snapToGrid w:val="0"/>
          <w:sz w:val="32"/>
          <w:szCs w:val="32"/>
          <w:lang w:val="en-US" w:eastAsia="zh-CN" w:bidi="ar"/>
        </w:rPr>
        <w:br w:type="page"/>
      </w:r>
    </w:p>
    <w:tbl>
      <w:tblPr>
        <w:tblStyle w:val="13"/>
        <w:tblW w:w="82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9"/>
        <w:gridCol w:w="861"/>
        <w:gridCol w:w="2663"/>
        <w:gridCol w:w="1950"/>
        <w:gridCol w:w="1933"/>
      </w:tblGrid>
      <w:tr w14:paraId="365D9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8266" w:type="dxa"/>
            <w:gridSpan w:val="5"/>
            <w:tcBorders>
              <w:top w:val="nil"/>
              <w:left w:val="nil"/>
              <w:bottom w:val="nil"/>
              <w:right w:val="nil"/>
            </w:tcBorders>
            <w:shd w:val="clear" w:color="auto" w:fill="auto"/>
            <w:noWrap/>
            <w:vAlign w:val="center"/>
          </w:tcPr>
          <w:p w14:paraId="4B7068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highlight w:val="none"/>
                <w:u w:val="none"/>
                <w:lang w:val="en-US" w:eastAsia="zh-CN" w:bidi="ar"/>
              </w:rPr>
              <w:t>项目支出绩效目标申报表</w:t>
            </w:r>
          </w:p>
        </w:tc>
      </w:tr>
      <w:tr w14:paraId="588A3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 w:hRule="atLeast"/>
        </w:trPr>
        <w:tc>
          <w:tcPr>
            <w:tcW w:w="8266" w:type="dxa"/>
            <w:gridSpan w:val="5"/>
            <w:tcBorders>
              <w:top w:val="nil"/>
              <w:left w:val="nil"/>
              <w:bottom w:val="nil"/>
              <w:right w:val="nil"/>
            </w:tcBorders>
            <w:shd w:val="clear" w:color="auto" w:fill="auto"/>
            <w:noWrap/>
            <w:vAlign w:val="center"/>
          </w:tcPr>
          <w:p w14:paraId="7792C0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w:t>
            </w:r>
          </w:p>
        </w:tc>
      </w:tr>
      <w:tr w14:paraId="1F2DC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8266" w:type="dxa"/>
            <w:gridSpan w:val="5"/>
            <w:tcBorders>
              <w:top w:val="nil"/>
              <w:left w:val="nil"/>
              <w:bottom w:val="single" w:color="auto" w:sz="4" w:space="0"/>
              <w:right w:val="nil"/>
            </w:tcBorders>
            <w:shd w:val="clear" w:color="auto" w:fill="auto"/>
            <w:noWrap/>
            <w:vAlign w:val="center"/>
          </w:tcPr>
          <w:p w14:paraId="5C8C5778">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填报单位(盖章):宁河区林业局</w:t>
            </w:r>
          </w:p>
        </w:tc>
      </w:tr>
      <w:tr w14:paraId="2A54B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8" w:hRule="atLeast"/>
        </w:trPr>
        <w:tc>
          <w:tcPr>
            <w:tcW w:w="172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D223EFD">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项目名称</w:t>
            </w:r>
          </w:p>
        </w:tc>
        <w:tc>
          <w:tcPr>
            <w:tcW w:w="2663" w:type="dxa"/>
            <w:tcBorders>
              <w:top w:val="single" w:color="auto" w:sz="4" w:space="0"/>
              <w:left w:val="single" w:color="auto" w:sz="4" w:space="0"/>
              <w:bottom w:val="single" w:color="auto" w:sz="4" w:space="0"/>
              <w:right w:val="single" w:color="auto" w:sz="4" w:space="0"/>
            </w:tcBorders>
            <w:shd w:val="clear" w:color="auto" w:fill="auto"/>
            <w:vAlign w:val="center"/>
          </w:tcPr>
          <w:p w14:paraId="7354E0B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宁河区2023年绿化养管项目</w:t>
            </w:r>
          </w:p>
        </w:tc>
        <w:tc>
          <w:tcPr>
            <w:tcW w:w="19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373B8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主管预算部门</w:t>
            </w:r>
          </w:p>
        </w:tc>
        <w:tc>
          <w:tcPr>
            <w:tcW w:w="19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93989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宁河区林业局</w:t>
            </w:r>
          </w:p>
        </w:tc>
      </w:tr>
      <w:tr w14:paraId="40DC5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0" w:hRule="atLeast"/>
        </w:trPr>
        <w:tc>
          <w:tcPr>
            <w:tcW w:w="1720" w:type="dxa"/>
            <w:gridSpan w:val="2"/>
            <w:tcBorders>
              <w:top w:val="single" w:color="auto" w:sz="4" w:space="0"/>
              <w:left w:val="single" w:color="000000" w:sz="4" w:space="0"/>
              <w:bottom w:val="single" w:color="000000" w:sz="4" w:space="0"/>
              <w:right w:val="single" w:color="000000" w:sz="4" w:space="0"/>
            </w:tcBorders>
            <w:shd w:val="clear" w:color="auto" w:fill="auto"/>
            <w:noWrap/>
            <w:vAlign w:val="center"/>
          </w:tcPr>
          <w:p w14:paraId="6A5E519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项目属性</w:t>
            </w:r>
          </w:p>
        </w:tc>
        <w:tc>
          <w:tcPr>
            <w:tcW w:w="2663" w:type="dxa"/>
            <w:tcBorders>
              <w:top w:val="single" w:color="auto" w:sz="4" w:space="0"/>
              <w:left w:val="single" w:color="000000" w:sz="4" w:space="0"/>
              <w:bottom w:val="single" w:color="000000" w:sz="4" w:space="0"/>
              <w:right w:val="single" w:color="000000" w:sz="4" w:space="0"/>
            </w:tcBorders>
            <w:shd w:val="clear" w:color="auto" w:fill="auto"/>
            <w:vAlign w:val="center"/>
          </w:tcPr>
          <w:p w14:paraId="346BE068">
            <w:pPr>
              <w:keepNext w:val="0"/>
              <w:keepLines w:val="0"/>
              <w:pageBreakBefore w:val="0"/>
              <w:widowControl/>
              <w:suppressLineNumbers w:val="0"/>
              <w:kinsoku/>
              <w:wordWrap/>
              <w:overflowPunct/>
              <w:topLinePunct w:val="0"/>
              <w:autoSpaceDE/>
              <w:autoSpaceDN/>
              <w:bidi w:val="0"/>
              <w:adjustRightInd/>
              <w:snapToGrid/>
              <w:spacing w:line="300" w:lineRule="exact"/>
              <w:ind w:left="660" w:leftChars="0" w:hanging="660" w:hangingChars="300"/>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 xml:space="preserve">√ 经常性项目        </w:t>
            </w:r>
          </w:p>
          <w:p w14:paraId="05B7B33C">
            <w:pPr>
              <w:keepNext w:val="0"/>
              <w:keepLines w:val="0"/>
              <w:pageBreakBefore w:val="0"/>
              <w:widowControl/>
              <w:suppressLineNumbers w:val="0"/>
              <w:kinsoku/>
              <w:wordWrap/>
              <w:overflowPunct/>
              <w:topLinePunct w:val="0"/>
              <w:autoSpaceDE/>
              <w:autoSpaceDN/>
              <w:bidi w:val="0"/>
              <w:adjustRightInd/>
              <w:snapToGrid/>
              <w:spacing w:line="300" w:lineRule="exact"/>
              <w:ind w:left="658" w:leftChars="68" w:hanging="440" w:hangingChars="200"/>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一次性项目</w:t>
            </w:r>
          </w:p>
        </w:tc>
        <w:tc>
          <w:tcPr>
            <w:tcW w:w="195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CE13C0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项目起止时间</w:t>
            </w:r>
          </w:p>
        </w:tc>
        <w:tc>
          <w:tcPr>
            <w:tcW w:w="193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A1DCEC8">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2023.01-2023.12</w:t>
            </w:r>
          </w:p>
        </w:tc>
      </w:tr>
      <w:tr w14:paraId="27226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1"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DE66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项目预算资金</w:t>
            </w:r>
          </w:p>
          <w:p w14:paraId="1A299D1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(万元)</w:t>
            </w:r>
          </w:p>
        </w:tc>
        <w:tc>
          <w:tcPr>
            <w:tcW w:w="266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FD22F">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2300万元</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7BB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其中:财政拨款</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D0BB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2300万元</w:t>
            </w:r>
          </w:p>
        </w:tc>
      </w:tr>
      <w:tr w14:paraId="6204D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2606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266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254C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D4ED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其他资金</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661E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r>
      <w:tr w14:paraId="3B818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3" w:hRule="atLeast"/>
        </w:trPr>
        <w:tc>
          <w:tcPr>
            <w:tcW w:w="8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585A5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绩效目标</w:t>
            </w:r>
          </w:p>
        </w:tc>
        <w:tc>
          <w:tcPr>
            <w:tcW w:w="740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7E17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目标1:根据相关规定，对重点路段养护</w:t>
            </w:r>
          </w:p>
        </w:tc>
      </w:tr>
      <w:tr w14:paraId="63517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6062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740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65E3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目标2:为更好的保护苗木设施</w:t>
            </w:r>
          </w:p>
        </w:tc>
      </w:tr>
      <w:tr w14:paraId="14D06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619551">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740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423D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目标3:保障和提升宁河区绿化景观效果</w:t>
            </w:r>
          </w:p>
        </w:tc>
      </w:tr>
      <w:tr w14:paraId="06931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2" w:hRule="atLeast"/>
        </w:trPr>
        <w:tc>
          <w:tcPr>
            <w:tcW w:w="8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289B6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绩效指标</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B2D7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一级</w:t>
            </w:r>
          </w:p>
          <w:p w14:paraId="46C8B91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w:t>
            </w: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FC58F">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二级指标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7E2D2">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三级指标</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C976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指标值</w:t>
            </w:r>
          </w:p>
        </w:tc>
      </w:tr>
      <w:tr w14:paraId="5A8D5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25FFD">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2"/>
                <w:szCs w:val="22"/>
                <w:u w:val="none"/>
              </w:rPr>
            </w:pP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5E6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产出</w:t>
            </w:r>
          </w:p>
          <w:p w14:paraId="3A1F1F7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w:t>
            </w: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4B76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数量指标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A374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林木养护面积</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1B1C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以核查数为准</w:t>
            </w:r>
          </w:p>
        </w:tc>
      </w:tr>
      <w:tr w14:paraId="45016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79B2B5">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2"/>
                <w:szCs w:val="22"/>
                <w:u w:val="none"/>
              </w:rPr>
            </w:pPr>
          </w:p>
        </w:tc>
        <w:tc>
          <w:tcPr>
            <w:tcW w:w="8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175A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8718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质量指标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2AE7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补贴资金发放率</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079E9">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r>
      <w:tr w14:paraId="061FD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E5D346">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2"/>
                <w:szCs w:val="22"/>
                <w:u w:val="none"/>
              </w:rPr>
            </w:pPr>
          </w:p>
        </w:tc>
        <w:tc>
          <w:tcPr>
            <w:tcW w:w="8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7157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2274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时效指标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7D26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补贴资金发放及时率</w:t>
            </w:r>
          </w:p>
        </w:tc>
        <w:tc>
          <w:tcPr>
            <w:tcW w:w="19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3214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固定的时间发放</w:t>
            </w:r>
          </w:p>
        </w:tc>
      </w:tr>
      <w:tr w14:paraId="64E67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12FF03">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2"/>
                <w:szCs w:val="22"/>
                <w:u w:val="none"/>
              </w:rPr>
            </w:pPr>
          </w:p>
        </w:tc>
        <w:tc>
          <w:tcPr>
            <w:tcW w:w="8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70B0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4BA96">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成本指标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7CD8">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补贴资金发放</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1859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≥2300元</w:t>
            </w:r>
          </w:p>
        </w:tc>
      </w:tr>
      <w:tr w14:paraId="21F8D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7"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4DA44">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2"/>
                <w:szCs w:val="22"/>
                <w:u w:val="none"/>
              </w:rPr>
            </w:pPr>
          </w:p>
        </w:tc>
        <w:tc>
          <w:tcPr>
            <w:tcW w:w="86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BA80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效益</w:t>
            </w:r>
          </w:p>
          <w:p w14:paraId="30E3CA8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w:t>
            </w: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4DEE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经济效益指标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1C4FE">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补贴事项完成程度</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DD4A3">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r>
      <w:tr w14:paraId="6EBDC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33A68">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2"/>
                <w:szCs w:val="22"/>
                <w:u w:val="none"/>
              </w:rPr>
            </w:pPr>
          </w:p>
        </w:tc>
        <w:tc>
          <w:tcPr>
            <w:tcW w:w="8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9B4C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6143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社会效益指标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2C92A">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提供我区绿化总目标</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6C9A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有效改善</w:t>
            </w:r>
          </w:p>
        </w:tc>
      </w:tr>
      <w:tr w14:paraId="4CF12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29EC0">
            <w:pPr>
              <w:keepNext w:val="0"/>
              <w:keepLines w:val="0"/>
              <w:pageBreakBefore w:val="0"/>
              <w:widowControl/>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sz w:val="22"/>
                <w:szCs w:val="22"/>
                <w:u w:val="none"/>
              </w:rPr>
            </w:pPr>
          </w:p>
        </w:tc>
        <w:tc>
          <w:tcPr>
            <w:tcW w:w="8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21BF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14C3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生态效益指标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8CB4D">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提高环境质量</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2FD04">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有效提高</w:t>
            </w:r>
          </w:p>
        </w:tc>
      </w:tr>
      <w:tr w14:paraId="4147A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9BC3AC">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8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D9EB">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9310F">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可持续影响指标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CEBE0">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按照实际情况</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A2ACD">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按照实际情况</w:t>
            </w:r>
          </w:p>
        </w:tc>
      </w:tr>
      <w:tr w14:paraId="19A92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7" w:hRule="atLeast"/>
        </w:trPr>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D23748">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1E25D">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满意度指标</w:t>
            </w:r>
          </w:p>
        </w:tc>
        <w:tc>
          <w:tcPr>
            <w:tcW w:w="2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67255">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服务对象满意度指标</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4CA27">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社会公众满意度</w:t>
            </w:r>
          </w:p>
        </w:tc>
        <w:tc>
          <w:tcPr>
            <w:tcW w:w="1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99F7F">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firstLine="0" w:firstLineChars="0"/>
              <w:jc w:val="both"/>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r>
      <w:tr w14:paraId="3B04D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8266" w:type="dxa"/>
            <w:gridSpan w:val="5"/>
            <w:tcBorders>
              <w:top w:val="nil"/>
              <w:left w:val="nil"/>
              <w:bottom w:val="nil"/>
              <w:right w:val="nil"/>
            </w:tcBorders>
            <w:shd w:val="clear" w:color="auto" w:fill="auto"/>
            <w:noWrap/>
            <w:vAlign w:val="center"/>
          </w:tcPr>
          <w:tbl>
            <w:tblPr>
              <w:tblStyle w:val="13"/>
              <w:tblW w:w="8320" w:type="dxa"/>
              <w:tblInd w:w="-2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20"/>
            </w:tblGrid>
            <w:tr w14:paraId="356AC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8320" w:type="dxa"/>
                  <w:tcBorders>
                    <w:top w:val="nil"/>
                    <w:left w:val="nil"/>
                    <w:bottom w:val="nil"/>
                    <w:right w:val="nil"/>
                  </w:tcBorders>
                  <w:shd w:val="clear" w:color="auto" w:fill="auto"/>
                  <w:noWrap/>
                  <w:vAlign w:val="center"/>
                </w:tcPr>
                <w:p w14:paraId="46F8A22A">
                  <w:pPr>
                    <w:keepNext w:val="0"/>
                    <w:keepLines w:val="0"/>
                    <w:widowControl/>
                    <w:suppressLineNumbers w:val="0"/>
                    <w:ind w:left="0" w:leftChars="0" w:firstLine="0" w:firstLineChars="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填表人:董昕晔             复核人:梁建军         联系电话: 19922620614</w:t>
                  </w:r>
                </w:p>
              </w:tc>
            </w:tr>
          </w:tbl>
          <w:p w14:paraId="5E0B1519">
            <w:pPr>
              <w:pStyle w:val="2"/>
              <w:ind w:left="0" w:leftChars="0" w:firstLine="0" w:firstLineChars="0"/>
              <w:rPr>
                <w:rFonts w:hint="eastAsia"/>
                <w:lang w:val="en-US" w:eastAsia="zh-CN"/>
              </w:rPr>
            </w:pPr>
          </w:p>
        </w:tc>
      </w:tr>
    </w:tbl>
    <w:p w14:paraId="28011108">
      <w:pPr>
        <w:widowControl w:val="0"/>
        <w:numPr>
          <w:ilvl w:val="0"/>
          <w:numId w:val="0"/>
        </w:numPr>
        <w:spacing w:line="560" w:lineRule="exact"/>
        <w:jc w:val="both"/>
        <w:rPr>
          <w:rFonts w:hint="default" w:eastAsia="仿宋"/>
          <w:lang w:val="en-US" w:eastAsia="zh-CN"/>
        </w:rPr>
      </w:pPr>
    </w:p>
    <w:sectPr>
      <w:headerReference r:id="rId6" w:type="default"/>
      <w:footerReference r:id="rId7" w:type="default"/>
      <w:pgSz w:w="11906" w:h="16838"/>
      <w:pgMar w:top="1440" w:right="1800" w:bottom="1440" w:left="1800" w:header="851" w:footer="992" w:gutter="0"/>
      <w:pgNumType w:fmt="decimal"/>
      <w:cols w:space="425"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DF9BEDE-FBF5-4C88-BCE8-1E45F8046C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AB7CCDAF-7A47-4DDF-829B-413ECE3AA1C7}"/>
  </w:font>
  <w:font w:name="Tahoma">
    <w:panose1 w:val="020B0604030504040204"/>
    <w:charset w:val="00"/>
    <w:family w:val="auto"/>
    <w:pitch w:val="default"/>
    <w:sig w:usb0="E1002EFF" w:usb1="C000605B" w:usb2="00000029" w:usb3="00000000" w:csb0="200101FF" w:csb1="20280000"/>
  </w:font>
  <w:font w:name="Wingdings 2">
    <w:altName w:val="Wingdings"/>
    <w:panose1 w:val="05020102010507070707"/>
    <w:charset w:val="00"/>
    <w:family w:val="auto"/>
    <w:pitch w:val="default"/>
    <w:sig w:usb0="00000000" w:usb1="00000000" w:usb2="00000000" w:usb3="00000000" w:csb0="80000000" w:csb1="00000000"/>
  </w:font>
  <w:font w:name="方正小标宋简体">
    <w:panose1 w:val="02000000000000000000"/>
    <w:charset w:val="86"/>
    <w:family w:val="auto"/>
    <w:pitch w:val="default"/>
    <w:sig w:usb0="00000001" w:usb1="08000000" w:usb2="00000000" w:usb3="00000000" w:csb0="00040000" w:csb1="00000000"/>
    <w:embedRegular r:id="rId3" w:fontKey="{EC54249C-F11C-45A0-8C02-E03CC07AEFEA}"/>
  </w:font>
  <w:font w:name="微软雅黑">
    <w:panose1 w:val="020B0503020204020204"/>
    <w:charset w:val="86"/>
    <w:family w:val="auto"/>
    <w:pitch w:val="default"/>
    <w:sig w:usb0="80000287" w:usb1="2ACF3C50" w:usb2="00000016" w:usb3="00000000" w:csb0="0004001F" w:csb1="00000000"/>
    <w:embedRegular r:id="rId4" w:fontKey="{E513B7A5-C8A8-43CD-88CC-DB5E5F092BA7}"/>
  </w:font>
  <w:font w:name="仿宋_GB2312">
    <w:panose1 w:val="02010609030101010101"/>
    <w:charset w:val="86"/>
    <w:family w:val="modern"/>
    <w:pitch w:val="default"/>
    <w:sig w:usb0="00000001" w:usb1="080E0000" w:usb2="00000000" w:usb3="00000000" w:csb0="00040000" w:csb1="00000000"/>
    <w:embedRegular r:id="rId5" w:fontKey="{2FBF1A4A-A484-4354-83D5-14B60E9B0A46}"/>
  </w:font>
  <w:font w:name="楷体">
    <w:panose1 w:val="02010609060101010101"/>
    <w:charset w:val="86"/>
    <w:family w:val="auto"/>
    <w:pitch w:val="default"/>
    <w:sig w:usb0="800002BF" w:usb1="38CF7CFA" w:usb2="00000016" w:usb3="00000000" w:csb0="00040001" w:csb1="00000000"/>
    <w:embedRegular r:id="rId6" w:fontKey="{309DA901-8F3B-4218-BA8C-4A9CA1E4DE63}"/>
  </w:font>
  <w:font w:name="华文仿宋">
    <w:panose1 w:val="02010600040101010101"/>
    <w:charset w:val="86"/>
    <w:family w:val="auto"/>
    <w:pitch w:val="default"/>
    <w:sig w:usb0="00000287" w:usb1="080F0000" w:usb2="00000000" w:usb3="00000000" w:csb0="0004009F" w:csb1="DFD70000"/>
    <w:embedRegular r:id="rId7" w:fontKey="{AF45B877-20BA-4704-B75A-1B2B9D881616}"/>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D6131">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92D860">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f5R8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Ef5R8zAgAAYwQAAA4AAAAAAAAAAQAgAAAAHwEAAGRycy9lMm9Eb2MueG1sUEsF&#10;BgAAAAAGAAYAWQEAAMQFAAAAAA==&#10;">
              <v:fill on="f" focussize="0,0"/>
              <v:stroke on="f" weight="0.5pt"/>
              <v:imagedata o:title=""/>
              <o:lock v:ext="edit" aspectratio="f"/>
              <v:textbox inset="0mm,0mm,0mm,0mm" style="mso-fit-shape-to-text:t;">
                <w:txbxContent>
                  <w:p w14:paraId="5192D860">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7323C">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E638AC">
                          <w:pPr>
                            <w:pStyle w:val="8"/>
                          </w:pPr>
                          <w:r>
                            <w:fldChar w:fldCharType="begin"/>
                          </w:r>
                          <w:r>
                            <w:instrText xml:space="preserve"> PAGE  \* MERGEFORMAT </w:instrText>
                          </w:r>
                          <w:r>
                            <w:fldChar w:fldCharType="separate"/>
                          </w:r>
                          <w:r>
                            <w:t>92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IA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lB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kgBjICAABjBAAADgAAAAAAAAABACAAAAAfAQAAZHJzL2Uyb0RvYy54bWxQSwUG&#10;AAAAAAYABgBZAQAAwwUAAAAA&#10;">
              <v:fill on="f" focussize="0,0"/>
              <v:stroke on="f" weight="0.5pt"/>
              <v:imagedata o:title=""/>
              <o:lock v:ext="edit" aspectratio="f"/>
              <v:textbox inset="0mm,0mm,0mm,0mm" style="mso-fit-shape-to-text:t;">
                <w:txbxContent>
                  <w:p w14:paraId="3DE638AC">
                    <w:pPr>
                      <w:pStyle w:val="8"/>
                    </w:pPr>
                    <w:r>
                      <w:fldChar w:fldCharType="begin"/>
                    </w:r>
                    <w:r>
                      <w:instrText xml:space="preserve"> PAGE  \* MERGEFORMAT </w:instrText>
                    </w:r>
                    <w:r>
                      <w:fldChar w:fldCharType="separate"/>
                    </w:r>
                    <w:r>
                      <w:t>92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C10D1">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467390"/>
    <w:multiLevelType w:val="singleLevel"/>
    <w:tmpl w:val="AF46739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5MmMyMTJjMzkzMDI0YjY5YzVjMTM3NTk1ZDg5YTEifQ=="/>
  </w:docVars>
  <w:rsids>
    <w:rsidRoot w:val="28FC2C61"/>
    <w:rsid w:val="00212C24"/>
    <w:rsid w:val="008A6366"/>
    <w:rsid w:val="010D42DB"/>
    <w:rsid w:val="01341797"/>
    <w:rsid w:val="014279B6"/>
    <w:rsid w:val="01A5747F"/>
    <w:rsid w:val="01E15F42"/>
    <w:rsid w:val="024F1886"/>
    <w:rsid w:val="02E65B81"/>
    <w:rsid w:val="03060ACD"/>
    <w:rsid w:val="033F2DAA"/>
    <w:rsid w:val="03FF317A"/>
    <w:rsid w:val="04585926"/>
    <w:rsid w:val="04A9261D"/>
    <w:rsid w:val="04C073D1"/>
    <w:rsid w:val="04CE264B"/>
    <w:rsid w:val="05072F93"/>
    <w:rsid w:val="052B13E7"/>
    <w:rsid w:val="056C0C7C"/>
    <w:rsid w:val="060B3A93"/>
    <w:rsid w:val="061805A7"/>
    <w:rsid w:val="06D904C5"/>
    <w:rsid w:val="071F1AE4"/>
    <w:rsid w:val="07232B84"/>
    <w:rsid w:val="075B548A"/>
    <w:rsid w:val="07706DBE"/>
    <w:rsid w:val="07965180"/>
    <w:rsid w:val="07C55812"/>
    <w:rsid w:val="08210AA9"/>
    <w:rsid w:val="08777143"/>
    <w:rsid w:val="088A3EA0"/>
    <w:rsid w:val="08DD24D7"/>
    <w:rsid w:val="094D3C55"/>
    <w:rsid w:val="09715EC1"/>
    <w:rsid w:val="0A4A5BF8"/>
    <w:rsid w:val="0A803377"/>
    <w:rsid w:val="0AA35B19"/>
    <w:rsid w:val="0ACC3C1C"/>
    <w:rsid w:val="0B0864B9"/>
    <w:rsid w:val="0B11147C"/>
    <w:rsid w:val="0B2C5585"/>
    <w:rsid w:val="0B5405E0"/>
    <w:rsid w:val="0BEE6494"/>
    <w:rsid w:val="0C025BE6"/>
    <w:rsid w:val="0C5B2D04"/>
    <w:rsid w:val="0C7C7F58"/>
    <w:rsid w:val="0CC67755"/>
    <w:rsid w:val="0CCA4337"/>
    <w:rsid w:val="0D036495"/>
    <w:rsid w:val="0D6812BD"/>
    <w:rsid w:val="0DBE3552"/>
    <w:rsid w:val="0EE41131"/>
    <w:rsid w:val="0EF067B9"/>
    <w:rsid w:val="0F057E48"/>
    <w:rsid w:val="0F217622"/>
    <w:rsid w:val="0F52047E"/>
    <w:rsid w:val="0F586B87"/>
    <w:rsid w:val="0F7C6937"/>
    <w:rsid w:val="0FBF5BEA"/>
    <w:rsid w:val="0FE0339D"/>
    <w:rsid w:val="10070FBD"/>
    <w:rsid w:val="10905A1A"/>
    <w:rsid w:val="10967DE9"/>
    <w:rsid w:val="11B443E2"/>
    <w:rsid w:val="11CA728C"/>
    <w:rsid w:val="11FA511F"/>
    <w:rsid w:val="12A66F7B"/>
    <w:rsid w:val="138F4DF5"/>
    <w:rsid w:val="139E1B1F"/>
    <w:rsid w:val="13B46B78"/>
    <w:rsid w:val="140D265B"/>
    <w:rsid w:val="143F46BB"/>
    <w:rsid w:val="147029AE"/>
    <w:rsid w:val="149D2731"/>
    <w:rsid w:val="14A83F1F"/>
    <w:rsid w:val="14AA2C55"/>
    <w:rsid w:val="14C36CD2"/>
    <w:rsid w:val="14CC3360"/>
    <w:rsid w:val="14E3238A"/>
    <w:rsid w:val="14EF5889"/>
    <w:rsid w:val="155242F2"/>
    <w:rsid w:val="155D5326"/>
    <w:rsid w:val="158525BC"/>
    <w:rsid w:val="16303692"/>
    <w:rsid w:val="16725EFF"/>
    <w:rsid w:val="16B16563"/>
    <w:rsid w:val="16B571BC"/>
    <w:rsid w:val="16CE4FC7"/>
    <w:rsid w:val="16D94A28"/>
    <w:rsid w:val="16E7054C"/>
    <w:rsid w:val="174C2BA7"/>
    <w:rsid w:val="17555EE6"/>
    <w:rsid w:val="177D7685"/>
    <w:rsid w:val="17AB4B8A"/>
    <w:rsid w:val="183348F0"/>
    <w:rsid w:val="186E3CCE"/>
    <w:rsid w:val="187C3D68"/>
    <w:rsid w:val="18B61F73"/>
    <w:rsid w:val="18D725F9"/>
    <w:rsid w:val="18FC176D"/>
    <w:rsid w:val="190E6DCF"/>
    <w:rsid w:val="195C664E"/>
    <w:rsid w:val="196F4CC2"/>
    <w:rsid w:val="19940C3D"/>
    <w:rsid w:val="19AA1699"/>
    <w:rsid w:val="19EE3204"/>
    <w:rsid w:val="1AC35C7E"/>
    <w:rsid w:val="1B0A6A5B"/>
    <w:rsid w:val="1B1F6A8A"/>
    <w:rsid w:val="1B3F4C04"/>
    <w:rsid w:val="1B6A60FA"/>
    <w:rsid w:val="1B92584B"/>
    <w:rsid w:val="1BB43B3C"/>
    <w:rsid w:val="1BCC3FD7"/>
    <w:rsid w:val="1BF72481"/>
    <w:rsid w:val="1C184482"/>
    <w:rsid w:val="1C8D2BE7"/>
    <w:rsid w:val="1CB179A7"/>
    <w:rsid w:val="1D5B5C57"/>
    <w:rsid w:val="1D8B65A8"/>
    <w:rsid w:val="1E104754"/>
    <w:rsid w:val="1E9828D4"/>
    <w:rsid w:val="1E9D616B"/>
    <w:rsid w:val="1EBA7774"/>
    <w:rsid w:val="1ED46A5A"/>
    <w:rsid w:val="1F213778"/>
    <w:rsid w:val="1F3F61F8"/>
    <w:rsid w:val="1FF00A35"/>
    <w:rsid w:val="1FFE6C58"/>
    <w:rsid w:val="2066660B"/>
    <w:rsid w:val="20B7365E"/>
    <w:rsid w:val="211C307E"/>
    <w:rsid w:val="2143796A"/>
    <w:rsid w:val="214666AB"/>
    <w:rsid w:val="218B1472"/>
    <w:rsid w:val="219248D6"/>
    <w:rsid w:val="21C4052D"/>
    <w:rsid w:val="21D417A5"/>
    <w:rsid w:val="21EC1F1B"/>
    <w:rsid w:val="22156983"/>
    <w:rsid w:val="228E1491"/>
    <w:rsid w:val="231D7983"/>
    <w:rsid w:val="23C24D31"/>
    <w:rsid w:val="23E70C54"/>
    <w:rsid w:val="251D6BCA"/>
    <w:rsid w:val="25386D73"/>
    <w:rsid w:val="25595613"/>
    <w:rsid w:val="25742EBD"/>
    <w:rsid w:val="25BE6682"/>
    <w:rsid w:val="25D45C33"/>
    <w:rsid w:val="260269D8"/>
    <w:rsid w:val="265A1F75"/>
    <w:rsid w:val="272B15F9"/>
    <w:rsid w:val="272E5169"/>
    <w:rsid w:val="27B707A6"/>
    <w:rsid w:val="285A08E6"/>
    <w:rsid w:val="28BA05FC"/>
    <w:rsid w:val="28BB5820"/>
    <w:rsid w:val="28E752AB"/>
    <w:rsid w:val="28F5511D"/>
    <w:rsid w:val="28F71E44"/>
    <w:rsid w:val="28FC2C61"/>
    <w:rsid w:val="29435D9F"/>
    <w:rsid w:val="29757C8B"/>
    <w:rsid w:val="297A3323"/>
    <w:rsid w:val="2A387627"/>
    <w:rsid w:val="2A4F6884"/>
    <w:rsid w:val="2B726F43"/>
    <w:rsid w:val="2BCF7AF8"/>
    <w:rsid w:val="2C63036B"/>
    <w:rsid w:val="2CA83F3C"/>
    <w:rsid w:val="2CDA2B39"/>
    <w:rsid w:val="2CE07D47"/>
    <w:rsid w:val="2DAE3077"/>
    <w:rsid w:val="2E0D5BC7"/>
    <w:rsid w:val="2E1341C6"/>
    <w:rsid w:val="2EF8374F"/>
    <w:rsid w:val="2F0F0341"/>
    <w:rsid w:val="2F113A7B"/>
    <w:rsid w:val="2FA15A0A"/>
    <w:rsid w:val="2FFF2D14"/>
    <w:rsid w:val="302759B3"/>
    <w:rsid w:val="306A1627"/>
    <w:rsid w:val="307F59DF"/>
    <w:rsid w:val="30B97523"/>
    <w:rsid w:val="30F5252E"/>
    <w:rsid w:val="30FE2CEB"/>
    <w:rsid w:val="31011A0E"/>
    <w:rsid w:val="3160707F"/>
    <w:rsid w:val="31635585"/>
    <w:rsid w:val="316F4ADD"/>
    <w:rsid w:val="31E35DBC"/>
    <w:rsid w:val="31F61849"/>
    <w:rsid w:val="329F2ACD"/>
    <w:rsid w:val="32DE295A"/>
    <w:rsid w:val="33863895"/>
    <w:rsid w:val="33A1398A"/>
    <w:rsid w:val="33C56A9A"/>
    <w:rsid w:val="33D13F1C"/>
    <w:rsid w:val="34153636"/>
    <w:rsid w:val="34790D5A"/>
    <w:rsid w:val="34E222A8"/>
    <w:rsid w:val="35351C58"/>
    <w:rsid w:val="3568438E"/>
    <w:rsid w:val="358D46DA"/>
    <w:rsid w:val="358F6010"/>
    <w:rsid w:val="35955121"/>
    <w:rsid w:val="35991EFD"/>
    <w:rsid w:val="35AA7EC9"/>
    <w:rsid w:val="35B27C03"/>
    <w:rsid w:val="363B28C5"/>
    <w:rsid w:val="36B24C9C"/>
    <w:rsid w:val="376807A6"/>
    <w:rsid w:val="37873E34"/>
    <w:rsid w:val="37974633"/>
    <w:rsid w:val="38103F5F"/>
    <w:rsid w:val="3839632C"/>
    <w:rsid w:val="386A0D8C"/>
    <w:rsid w:val="3876530C"/>
    <w:rsid w:val="38885375"/>
    <w:rsid w:val="38AB4F31"/>
    <w:rsid w:val="39D504CB"/>
    <w:rsid w:val="39FB08F6"/>
    <w:rsid w:val="3A3B054C"/>
    <w:rsid w:val="3A5324DF"/>
    <w:rsid w:val="3ACD555E"/>
    <w:rsid w:val="3B2079E6"/>
    <w:rsid w:val="3B855CD3"/>
    <w:rsid w:val="3BAB653A"/>
    <w:rsid w:val="3BD0391F"/>
    <w:rsid w:val="3BDB7AAC"/>
    <w:rsid w:val="3C1F5D41"/>
    <w:rsid w:val="3C550419"/>
    <w:rsid w:val="3CEB4BA4"/>
    <w:rsid w:val="3D3D40EF"/>
    <w:rsid w:val="3DBE5819"/>
    <w:rsid w:val="3DDC29BC"/>
    <w:rsid w:val="3DFE4E7D"/>
    <w:rsid w:val="3DFE706D"/>
    <w:rsid w:val="3E035CA7"/>
    <w:rsid w:val="3E435CB3"/>
    <w:rsid w:val="3E7C28B8"/>
    <w:rsid w:val="3E834185"/>
    <w:rsid w:val="3E8D3755"/>
    <w:rsid w:val="3E8D599D"/>
    <w:rsid w:val="3E94489A"/>
    <w:rsid w:val="3EB45467"/>
    <w:rsid w:val="3F1C16F7"/>
    <w:rsid w:val="3F4D6621"/>
    <w:rsid w:val="3F8735E2"/>
    <w:rsid w:val="3F8C7DD7"/>
    <w:rsid w:val="3FAF6D37"/>
    <w:rsid w:val="3FF21F94"/>
    <w:rsid w:val="40960586"/>
    <w:rsid w:val="40AB45C6"/>
    <w:rsid w:val="410A4C7C"/>
    <w:rsid w:val="41243903"/>
    <w:rsid w:val="41581B12"/>
    <w:rsid w:val="421D564E"/>
    <w:rsid w:val="42593DF3"/>
    <w:rsid w:val="42892644"/>
    <w:rsid w:val="429D5C9D"/>
    <w:rsid w:val="42B463D9"/>
    <w:rsid w:val="435A58EA"/>
    <w:rsid w:val="438F1B00"/>
    <w:rsid w:val="44096CA7"/>
    <w:rsid w:val="44AF4B35"/>
    <w:rsid w:val="44E21F38"/>
    <w:rsid w:val="451355D4"/>
    <w:rsid w:val="45362779"/>
    <w:rsid w:val="453B1295"/>
    <w:rsid w:val="45D830E6"/>
    <w:rsid w:val="45DB1DF3"/>
    <w:rsid w:val="45E221D7"/>
    <w:rsid w:val="461935A9"/>
    <w:rsid w:val="46505273"/>
    <w:rsid w:val="47150183"/>
    <w:rsid w:val="47173F9C"/>
    <w:rsid w:val="472E7BF3"/>
    <w:rsid w:val="47444402"/>
    <w:rsid w:val="47717662"/>
    <w:rsid w:val="480343B2"/>
    <w:rsid w:val="483B0352"/>
    <w:rsid w:val="486263F7"/>
    <w:rsid w:val="48C70793"/>
    <w:rsid w:val="48E4232E"/>
    <w:rsid w:val="498F26FD"/>
    <w:rsid w:val="49DD4D48"/>
    <w:rsid w:val="49E135B0"/>
    <w:rsid w:val="49E9483F"/>
    <w:rsid w:val="4A554947"/>
    <w:rsid w:val="4AD61426"/>
    <w:rsid w:val="4B5F70FB"/>
    <w:rsid w:val="4B8F2619"/>
    <w:rsid w:val="4B9F5261"/>
    <w:rsid w:val="4BA418D4"/>
    <w:rsid w:val="4C635561"/>
    <w:rsid w:val="4CB93F3C"/>
    <w:rsid w:val="4CBB28BC"/>
    <w:rsid w:val="4CEF6FB2"/>
    <w:rsid w:val="4D0E7126"/>
    <w:rsid w:val="4D586D9A"/>
    <w:rsid w:val="4DBE5BDD"/>
    <w:rsid w:val="4E2328DE"/>
    <w:rsid w:val="4ECD22E3"/>
    <w:rsid w:val="4F26545A"/>
    <w:rsid w:val="4F604835"/>
    <w:rsid w:val="4F712BC3"/>
    <w:rsid w:val="50C3182D"/>
    <w:rsid w:val="50DA1287"/>
    <w:rsid w:val="5120316E"/>
    <w:rsid w:val="51452A1D"/>
    <w:rsid w:val="52376435"/>
    <w:rsid w:val="52A16738"/>
    <w:rsid w:val="53394028"/>
    <w:rsid w:val="53BE55B4"/>
    <w:rsid w:val="53D43B63"/>
    <w:rsid w:val="54085F9F"/>
    <w:rsid w:val="54340C12"/>
    <w:rsid w:val="54721B5C"/>
    <w:rsid w:val="54CF0D69"/>
    <w:rsid w:val="5586703F"/>
    <w:rsid w:val="55D542C8"/>
    <w:rsid w:val="55E75739"/>
    <w:rsid w:val="560D07C3"/>
    <w:rsid w:val="567C6AAD"/>
    <w:rsid w:val="568A12FB"/>
    <w:rsid w:val="56B82B06"/>
    <w:rsid w:val="56E562A5"/>
    <w:rsid w:val="57762BF0"/>
    <w:rsid w:val="578A48A6"/>
    <w:rsid w:val="57932B6A"/>
    <w:rsid w:val="57C401A0"/>
    <w:rsid w:val="581C4D4F"/>
    <w:rsid w:val="5848247B"/>
    <w:rsid w:val="5875252C"/>
    <w:rsid w:val="589B5F0D"/>
    <w:rsid w:val="58EA204C"/>
    <w:rsid w:val="58F27264"/>
    <w:rsid w:val="58F75D67"/>
    <w:rsid w:val="596C40C2"/>
    <w:rsid w:val="596D6250"/>
    <w:rsid w:val="59A3424A"/>
    <w:rsid w:val="59A36BE2"/>
    <w:rsid w:val="5A086DB0"/>
    <w:rsid w:val="5A914A95"/>
    <w:rsid w:val="5ADA7FCA"/>
    <w:rsid w:val="5B347059"/>
    <w:rsid w:val="5B4827D0"/>
    <w:rsid w:val="5B6251BD"/>
    <w:rsid w:val="5B7D3488"/>
    <w:rsid w:val="5B8F2608"/>
    <w:rsid w:val="5C443580"/>
    <w:rsid w:val="5CC35C6B"/>
    <w:rsid w:val="5CE05244"/>
    <w:rsid w:val="5CF41E9F"/>
    <w:rsid w:val="5D10702B"/>
    <w:rsid w:val="5D517FAC"/>
    <w:rsid w:val="5DA46827"/>
    <w:rsid w:val="5DC04BAC"/>
    <w:rsid w:val="5DCD5560"/>
    <w:rsid w:val="5E30464B"/>
    <w:rsid w:val="5E3A290A"/>
    <w:rsid w:val="5E4D51EA"/>
    <w:rsid w:val="5EB41D0F"/>
    <w:rsid w:val="5ECD073D"/>
    <w:rsid w:val="5EDC78BE"/>
    <w:rsid w:val="5EDF6E23"/>
    <w:rsid w:val="5F05792D"/>
    <w:rsid w:val="5F461B1D"/>
    <w:rsid w:val="5FF358A6"/>
    <w:rsid w:val="60180A49"/>
    <w:rsid w:val="609C4A7D"/>
    <w:rsid w:val="60E35DD0"/>
    <w:rsid w:val="60E64D6F"/>
    <w:rsid w:val="60E67E5F"/>
    <w:rsid w:val="61626412"/>
    <w:rsid w:val="617732E5"/>
    <w:rsid w:val="618E0A6C"/>
    <w:rsid w:val="619B7205"/>
    <w:rsid w:val="61E875D1"/>
    <w:rsid w:val="61F4445A"/>
    <w:rsid w:val="62274910"/>
    <w:rsid w:val="624B30B0"/>
    <w:rsid w:val="62A1597A"/>
    <w:rsid w:val="62B26D13"/>
    <w:rsid w:val="62F924E6"/>
    <w:rsid w:val="62FD2CC5"/>
    <w:rsid w:val="638051A7"/>
    <w:rsid w:val="63806F86"/>
    <w:rsid w:val="64224F28"/>
    <w:rsid w:val="64316A3C"/>
    <w:rsid w:val="64426439"/>
    <w:rsid w:val="64437661"/>
    <w:rsid w:val="645937E9"/>
    <w:rsid w:val="64876EC8"/>
    <w:rsid w:val="64C93AE6"/>
    <w:rsid w:val="64CD1105"/>
    <w:rsid w:val="6507350B"/>
    <w:rsid w:val="65540206"/>
    <w:rsid w:val="65695F91"/>
    <w:rsid w:val="658A274B"/>
    <w:rsid w:val="6619056B"/>
    <w:rsid w:val="664F42C1"/>
    <w:rsid w:val="669332A5"/>
    <w:rsid w:val="669B67DF"/>
    <w:rsid w:val="672D4F4F"/>
    <w:rsid w:val="673108AF"/>
    <w:rsid w:val="677159D1"/>
    <w:rsid w:val="67CB439B"/>
    <w:rsid w:val="67F8002B"/>
    <w:rsid w:val="682A293A"/>
    <w:rsid w:val="68492A1D"/>
    <w:rsid w:val="68995374"/>
    <w:rsid w:val="68CE7DB0"/>
    <w:rsid w:val="68D27F85"/>
    <w:rsid w:val="69D05607"/>
    <w:rsid w:val="6ABB2514"/>
    <w:rsid w:val="6B351336"/>
    <w:rsid w:val="6B40369D"/>
    <w:rsid w:val="6BA93D50"/>
    <w:rsid w:val="6BBD0EFB"/>
    <w:rsid w:val="6BC855DD"/>
    <w:rsid w:val="6BC85E22"/>
    <w:rsid w:val="6C873999"/>
    <w:rsid w:val="6CA55FCA"/>
    <w:rsid w:val="6DAC2D07"/>
    <w:rsid w:val="6DE42085"/>
    <w:rsid w:val="6E8B5E78"/>
    <w:rsid w:val="6E9B3173"/>
    <w:rsid w:val="6ECA1B83"/>
    <w:rsid w:val="6EDE7122"/>
    <w:rsid w:val="6F1757AE"/>
    <w:rsid w:val="6F7C74D9"/>
    <w:rsid w:val="6F903092"/>
    <w:rsid w:val="701C2D4E"/>
    <w:rsid w:val="7027516A"/>
    <w:rsid w:val="70D11DA2"/>
    <w:rsid w:val="70F217BB"/>
    <w:rsid w:val="713263D7"/>
    <w:rsid w:val="71573740"/>
    <w:rsid w:val="718A668E"/>
    <w:rsid w:val="718E50B2"/>
    <w:rsid w:val="719D3761"/>
    <w:rsid w:val="724C7A09"/>
    <w:rsid w:val="72A2696E"/>
    <w:rsid w:val="72BC780D"/>
    <w:rsid w:val="72BF5A21"/>
    <w:rsid w:val="72DA601D"/>
    <w:rsid w:val="732736AB"/>
    <w:rsid w:val="73466275"/>
    <w:rsid w:val="73F503F5"/>
    <w:rsid w:val="74B55A8C"/>
    <w:rsid w:val="74BA4898"/>
    <w:rsid w:val="74FF23E4"/>
    <w:rsid w:val="762455FC"/>
    <w:rsid w:val="768D7AE9"/>
    <w:rsid w:val="778B42AE"/>
    <w:rsid w:val="77AD3200"/>
    <w:rsid w:val="78181D28"/>
    <w:rsid w:val="788A2885"/>
    <w:rsid w:val="78C10E31"/>
    <w:rsid w:val="78DC7EE1"/>
    <w:rsid w:val="78F125E5"/>
    <w:rsid w:val="7996670E"/>
    <w:rsid w:val="7A8226FE"/>
    <w:rsid w:val="7AFC16C6"/>
    <w:rsid w:val="7AFD24C6"/>
    <w:rsid w:val="7B9506F1"/>
    <w:rsid w:val="7B9F05B4"/>
    <w:rsid w:val="7BDE0D06"/>
    <w:rsid w:val="7C1334AB"/>
    <w:rsid w:val="7C567F40"/>
    <w:rsid w:val="7C627347"/>
    <w:rsid w:val="7C804655"/>
    <w:rsid w:val="7C900B34"/>
    <w:rsid w:val="7CB16355"/>
    <w:rsid w:val="7D5560EF"/>
    <w:rsid w:val="7D8362E3"/>
    <w:rsid w:val="7D931DC4"/>
    <w:rsid w:val="7ECE6754"/>
    <w:rsid w:val="7F190FE5"/>
    <w:rsid w:val="7F387DD6"/>
    <w:rsid w:val="7F7504BF"/>
    <w:rsid w:val="7FFB4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name="toc 1"/>
    <w:lsdException w:qFormat="1" w:uiPriority="39" w:name="toc 2"/>
    <w:lsdException w:qFormat="1" w:uiPriority="39"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仿宋" w:cs="Calibri"/>
      <w:kern w:val="2"/>
      <w:sz w:val="32"/>
      <w:szCs w:val="21"/>
      <w:lang w:val="en-US" w:eastAsia="zh-CN" w:bidi="ar-SA"/>
    </w:rPr>
  </w:style>
  <w:style w:type="paragraph" w:styleId="3">
    <w:name w:val="heading 1"/>
    <w:basedOn w:val="1"/>
    <w:next w:val="1"/>
    <w:link w:val="17"/>
    <w:qFormat/>
    <w:uiPriority w:val="0"/>
    <w:pPr>
      <w:keepNext/>
      <w:keepLines/>
      <w:spacing w:before="100" w:beforeLines="0" w:beforeAutospacing="0" w:after="90" w:afterLines="0" w:afterAutospacing="0" w:line="560" w:lineRule="exact"/>
      <w:ind w:leftChars="0"/>
      <w:jc w:val="left"/>
      <w:outlineLvl w:val="0"/>
    </w:pPr>
    <w:rPr>
      <w:rFonts w:ascii="Times New Roman" w:hAnsi="Times New Roman" w:eastAsia="黑体"/>
      <w:kern w:val="44"/>
    </w:rPr>
  </w:style>
  <w:style w:type="paragraph" w:styleId="4">
    <w:name w:val="heading 2"/>
    <w:basedOn w:val="1"/>
    <w:next w:val="1"/>
    <w:link w:val="19"/>
    <w:unhideWhenUsed/>
    <w:qFormat/>
    <w:uiPriority w:val="9"/>
    <w:pPr>
      <w:spacing w:before="192" w:beforeAutospacing="1" w:after="120" w:afterAutospacing="1"/>
      <w:ind w:leftChars="0"/>
      <w:jc w:val="left"/>
      <w:outlineLvl w:val="1"/>
    </w:pPr>
    <w:rPr>
      <w:rFonts w:ascii="宋体" w:hAnsi="宋体" w:eastAsia="黑体" w:cs="宋体"/>
      <w:kern w:val="0"/>
      <w:szCs w:val="36"/>
    </w:rPr>
  </w:style>
  <w:style w:type="paragraph" w:styleId="5">
    <w:name w:val="heading 3"/>
    <w:basedOn w:val="1"/>
    <w:next w:val="1"/>
    <w:link w:val="24"/>
    <w:unhideWhenUsed/>
    <w:qFormat/>
    <w:uiPriority w:val="0"/>
    <w:pPr>
      <w:keepNext/>
      <w:keepLines/>
      <w:spacing w:before="20" w:beforeLines="0" w:beforeAutospacing="0" w:after="20" w:afterLines="0" w:afterAutospacing="0" w:line="560" w:lineRule="exact"/>
      <w:ind w:leftChars="0"/>
      <w:outlineLvl w:val="2"/>
    </w:pPr>
    <w:rPr>
      <w:rFonts w:eastAsia="黑体"/>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rPr>
      <w:sz w:val="28"/>
      <w:szCs w:val="28"/>
    </w:rPr>
  </w:style>
  <w:style w:type="paragraph" w:styleId="6">
    <w:name w:val="annotation text"/>
    <w:basedOn w:val="1"/>
    <w:semiHidden/>
    <w:unhideWhenUsed/>
    <w:qFormat/>
    <w:uiPriority w:val="99"/>
    <w:pPr>
      <w:jc w:val="left"/>
    </w:pPr>
  </w:style>
  <w:style w:type="paragraph" w:styleId="7">
    <w:name w:val="toc 3"/>
    <w:basedOn w:val="1"/>
    <w:next w:val="1"/>
    <w:semiHidden/>
    <w:unhideWhenUsed/>
    <w:qFormat/>
    <w:uiPriority w:val="39"/>
    <w:pPr>
      <w:ind w:left="840" w:leftChars="400"/>
    </w:pPr>
  </w:style>
  <w:style w:type="paragraph" w:styleId="8">
    <w:name w:val="footer"/>
    <w:basedOn w:val="1"/>
    <w:unhideWhenUsed/>
    <w:qFormat/>
    <w:uiPriority w:val="99"/>
    <w:pPr>
      <w:tabs>
        <w:tab w:val="center" w:pos="4153"/>
        <w:tab w:val="right" w:pos="8306"/>
      </w:tabs>
      <w:snapToGrid w:val="0"/>
      <w:jc w:val="left"/>
    </w:pPr>
    <w:rPr>
      <w:kern w:val="0"/>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semiHidden/>
    <w:unhideWhenUsed/>
    <w:qFormat/>
    <w:uiPriority w:val="39"/>
  </w:style>
  <w:style w:type="paragraph" w:styleId="11">
    <w:name w:val="toc 2"/>
    <w:basedOn w:val="1"/>
    <w:next w:val="1"/>
    <w:semiHidden/>
    <w:unhideWhenUsed/>
    <w:qFormat/>
    <w:uiPriority w:val="39"/>
    <w:pPr>
      <w:ind w:left="420" w:leftChars="200"/>
    </w:p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page number"/>
    <w:basedOn w:val="14"/>
    <w:qFormat/>
    <w:uiPriority w:val="0"/>
  </w:style>
  <w:style w:type="character" w:styleId="16">
    <w:name w:val="Hyperlink"/>
    <w:basedOn w:val="14"/>
    <w:qFormat/>
    <w:uiPriority w:val="0"/>
    <w:rPr>
      <w:color w:val="0000FF"/>
      <w:u w:val="single"/>
    </w:rPr>
  </w:style>
  <w:style w:type="character" w:customStyle="1" w:styleId="17">
    <w:name w:val="标题 1 Char"/>
    <w:link w:val="3"/>
    <w:qFormat/>
    <w:uiPriority w:val="0"/>
    <w:rPr>
      <w:rFonts w:ascii="Times New Roman" w:hAnsi="Times New Roman" w:eastAsia="黑体"/>
      <w:kern w:val="44"/>
      <w:sz w:val="32"/>
    </w:rPr>
  </w:style>
  <w:style w:type="paragraph" w:customStyle="1" w:styleId="18">
    <w:name w:val="_Style 2"/>
    <w:basedOn w:val="1"/>
    <w:qFormat/>
    <w:uiPriority w:val="99"/>
    <w:pPr>
      <w:ind w:firstLine="420" w:firstLineChars="200"/>
    </w:pPr>
  </w:style>
  <w:style w:type="character" w:customStyle="1" w:styleId="19">
    <w:name w:val="标题 2 字符"/>
    <w:basedOn w:val="14"/>
    <w:link w:val="4"/>
    <w:semiHidden/>
    <w:qFormat/>
    <w:uiPriority w:val="9"/>
    <w:rPr>
      <w:rFonts w:ascii="宋体" w:hAnsi="宋体" w:eastAsia="黑体" w:cs="宋体"/>
      <w:kern w:val="0"/>
      <w:sz w:val="32"/>
      <w:szCs w:val="36"/>
    </w:rPr>
  </w:style>
  <w:style w:type="character" w:customStyle="1" w:styleId="20">
    <w:name w:val="fwzh-content1"/>
    <w:basedOn w:val="14"/>
    <w:qFormat/>
    <w:uiPriority w:val="0"/>
  </w:style>
  <w:style w:type="paragraph" w:customStyle="1" w:styleId="21">
    <w:name w:val="Table Paragraph"/>
    <w:basedOn w:val="1"/>
    <w:qFormat/>
    <w:uiPriority w:val="1"/>
    <w:pPr>
      <w:jc w:val="center"/>
    </w:pPr>
    <w:rPr>
      <w:rFonts w:ascii="Tahoma" w:hAnsi="Tahoma" w:eastAsia="Tahoma"/>
      <w:sz w:val="24"/>
    </w:rPr>
  </w:style>
  <w:style w:type="character" w:customStyle="1" w:styleId="22">
    <w:name w:val="last-of-type"/>
    <w:basedOn w:val="14"/>
    <w:qFormat/>
    <w:uiPriority w:val="0"/>
  </w:style>
  <w:style w:type="paragraph" w:styleId="23">
    <w:name w:val="List Paragraph"/>
    <w:basedOn w:val="1"/>
    <w:unhideWhenUsed/>
    <w:qFormat/>
    <w:uiPriority w:val="1"/>
    <w:pPr>
      <w:spacing w:beforeLines="0" w:afterLines="0"/>
      <w:ind w:left="1908" w:hanging="450"/>
    </w:pPr>
    <w:rPr>
      <w:rFonts w:hint="eastAsia"/>
      <w:sz w:val="24"/>
    </w:rPr>
  </w:style>
  <w:style w:type="character" w:customStyle="1" w:styleId="24">
    <w:name w:val="标题 3 Char"/>
    <w:link w:val="5"/>
    <w:qFormat/>
    <w:uiPriority w:val="0"/>
    <w:rPr>
      <w:rFonts w:eastAsia="黑体"/>
    </w:rPr>
  </w:style>
  <w:style w:type="character" w:customStyle="1" w:styleId="25">
    <w:name w:val="font21"/>
    <w:basedOn w:val="14"/>
    <w:qFormat/>
    <w:uiPriority w:val="0"/>
    <w:rPr>
      <w:rFonts w:hint="eastAsia" w:ascii="宋体" w:hAnsi="宋体" w:eastAsia="宋体" w:cs="宋体"/>
      <w:color w:val="000000"/>
      <w:sz w:val="20"/>
      <w:szCs w:val="20"/>
      <w:u w:val="none"/>
    </w:rPr>
  </w:style>
  <w:style w:type="character" w:customStyle="1" w:styleId="26">
    <w:name w:val="font11"/>
    <w:basedOn w:val="14"/>
    <w:qFormat/>
    <w:uiPriority w:val="0"/>
    <w:rPr>
      <w:rFonts w:hint="eastAsia" w:ascii="宋体" w:hAnsi="宋体" w:eastAsia="宋体" w:cs="宋体"/>
      <w:color w:val="000000"/>
      <w:sz w:val="20"/>
      <w:szCs w:val="20"/>
      <w:u w:val="none"/>
    </w:rPr>
  </w:style>
  <w:style w:type="character" w:customStyle="1" w:styleId="27">
    <w:name w:val="font01"/>
    <w:basedOn w:val="14"/>
    <w:qFormat/>
    <w:uiPriority w:val="0"/>
    <w:rPr>
      <w:rFonts w:hint="default" w:ascii="Wingdings 2" w:hAnsi="Wingdings 2" w:eastAsia="Wingdings 2" w:cs="Wingdings 2"/>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4558</Words>
  <Characters>4711</Characters>
  <Lines>0</Lines>
  <Paragraphs>0</Paragraphs>
  <TotalTime>7</TotalTime>
  <ScaleCrop>false</ScaleCrop>
  <LinksUpToDate>false</LinksUpToDate>
  <CharactersWithSpaces>4740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2021-05-31T02:36:00Z</dcterms:created>
  <dc:creator>张鹏飞</dc:creator>
  <cp:lastModifiedBy>Administrator</cp:lastModifiedBy>
  <cp:lastPrinted>2021-08-18T04:15:00Z</cp:lastPrinted>
  <dcterms:modified xsi:type="dcterms:W3CDTF">2025-02-28T07:29:13Z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1616CDDB831346AF95533D935DFA2389</vt:lpwstr>
  </property>
  <property fmtid="{D5CDD505-2E9C-101B-9397-08002B2CF9AE}" pid="4" name="KSOTemplateDocerSaveRecord">
    <vt:lpwstr>eyJoZGlkIjoiMWRlYWNjNWRhZDQ2NDA0ZDU3NTM5ZGRlMDNhY2FlNWQifQ==</vt:lpwstr>
  </property>
</Properties>
</file>