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3A85B">
      <w:pPr>
        <w:spacing w:line="460" w:lineRule="exact"/>
        <w:rPr>
          <w:rFonts w:hint="eastAsia" w:eastAsia="方正楷体简体"/>
          <w:color w:val="000000"/>
          <w:spacing w:val="34"/>
          <w:sz w:val="34"/>
          <w:szCs w:val="34"/>
          <w:shd w:val="clear" w:color="auto" w:fill="FFFFFF"/>
        </w:rPr>
      </w:pPr>
    </w:p>
    <w:p w14:paraId="36BEF513">
      <w:pPr>
        <w:spacing w:line="460" w:lineRule="exact"/>
        <w:rPr>
          <w:rFonts w:eastAsia="方正楷体简体"/>
          <w:color w:val="000000"/>
          <w:spacing w:val="34"/>
          <w:sz w:val="34"/>
          <w:szCs w:val="34"/>
          <w:shd w:val="clear" w:color="auto" w:fill="FFFFFF"/>
        </w:rPr>
      </w:pPr>
      <w:r>
        <w:rPr>
          <w:rFonts w:eastAsia="方正楷体简体"/>
          <w:color w:val="000000"/>
          <w:spacing w:val="34"/>
          <w:sz w:val="34"/>
          <w:szCs w:val="34"/>
          <w:shd w:val="clear" w:color="auto" w:fill="FFFFFF"/>
        </w:rPr>
        <w:t>区二届人大</w:t>
      </w:r>
      <w:r>
        <w:rPr>
          <w:rFonts w:hint="eastAsia" w:eastAsia="方正楷体简体"/>
          <w:color w:val="000000"/>
          <w:spacing w:val="34"/>
          <w:sz w:val="34"/>
          <w:szCs w:val="34"/>
          <w:shd w:val="clear" w:color="auto" w:fill="FFFFFF"/>
          <w:lang w:eastAsia="zh-CN"/>
        </w:rPr>
        <w:t>六</w:t>
      </w:r>
      <w:r>
        <w:rPr>
          <w:rFonts w:eastAsia="方正楷体简体"/>
          <w:color w:val="000000"/>
          <w:spacing w:val="34"/>
          <w:sz w:val="34"/>
          <w:szCs w:val="34"/>
          <w:shd w:val="clear" w:color="auto" w:fill="FFFFFF"/>
        </w:rPr>
        <w:t>次</w:t>
      </w:r>
    </w:p>
    <w:p w14:paraId="030AB640">
      <w:pPr>
        <w:widowControl/>
        <w:spacing w:line="460" w:lineRule="exact"/>
        <w:rPr>
          <w:rFonts w:eastAsia="方正楷体简体"/>
          <w:color w:val="000000"/>
          <w:sz w:val="34"/>
          <w:szCs w:val="34"/>
          <w:shd w:val="clear" w:color="auto" w:fill="FFFFFF"/>
        </w:rPr>
      </w:pPr>
      <w:r>
        <w:rPr>
          <w:rFonts w:eastAsia="方正楷体简体"/>
          <w:color w:val="000000"/>
          <w:sz w:val="34"/>
          <w:szCs w:val="34"/>
          <w:shd w:val="clear" w:color="auto" w:fill="FFFFFF"/>
        </w:rPr>
        <w:t>会议文件（</w:t>
      </w:r>
      <w:r>
        <w:rPr>
          <w:rFonts w:hint="eastAsia" w:eastAsia="方正楷体简体"/>
          <w:color w:val="000000"/>
          <w:sz w:val="34"/>
          <w:szCs w:val="34"/>
          <w:shd w:val="clear" w:color="auto" w:fill="FFFFFF"/>
        </w:rPr>
        <w:t>十三</w:t>
      </w:r>
      <w:r>
        <w:rPr>
          <w:rFonts w:eastAsia="方正楷体简体"/>
          <w:color w:val="000000"/>
          <w:sz w:val="34"/>
          <w:szCs w:val="34"/>
          <w:shd w:val="clear" w:color="auto" w:fill="FFFFFF"/>
        </w:rPr>
        <w:t>）</w:t>
      </w:r>
    </w:p>
    <w:p w14:paraId="787B3AB1">
      <w:pPr>
        <w:widowControl/>
        <w:spacing w:line="560" w:lineRule="exact"/>
        <w:jc w:val="center"/>
        <w:rPr>
          <w:color w:val="000000"/>
          <w:sz w:val="30"/>
          <w:szCs w:val="30"/>
          <w:shd w:val="clear" w:color="auto" w:fill="FFFFFF"/>
        </w:rPr>
      </w:pPr>
    </w:p>
    <w:p w14:paraId="7CAF0CA7"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关于宁河区2019年财政预算执行情况</w:t>
      </w:r>
    </w:p>
    <w:p w14:paraId="57FFEB20"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和2020年财政预算草案的报告</w:t>
      </w:r>
    </w:p>
    <w:p w14:paraId="53B4B9AE">
      <w:pPr>
        <w:widowControl/>
        <w:spacing w:line="560" w:lineRule="exact"/>
        <w:jc w:val="center"/>
        <w:rPr>
          <w:rFonts w:eastAsia="华文中宋"/>
          <w:color w:val="000000"/>
          <w:sz w:val="44"/>
          <w:szCs w:val="44"/>
        </w:rPr>
      </w:pPr>
    </w:p>
    <w:p w14:paraId="7A5E5B19">
      <w:pPr>
        <w:widowControl/>
        <w:spacing w:line="520" w:lineRule="exact"/>
        <w:jc w:val="center"/>
        <w:rPr>
          <w:rFonts w:eastAsia="方正楷体简体"/>
          <w:color w:val="000000"/>
          <w:sz w:val="34"/>
          <w:szCs w:val="34"/>
        </w:rPr>
      </w:pPr>
      <w:r>
        <w:rPr>
          <w:rFonts w:eastAsia="方正楷体简体"/>
          <w:color w:val="000000"/>
          <w:sz w:val="34"/>
          <w:szCs w:val="34"/>
        </w:rPr>
        <w:t>2020年1月</w:t>
      </w:r>
      <w:r>
        <w:rPr>
          <w:rFonts w:hint="eastAsia" w:eastAsia="方正楷体简体"/>
          <w:color w:val="000000"/>
          <w:sz w:val="34"/>
          <w:szCs w:val="34"/>
        </w:rPr>
        <w:t>7</w:t>
      </w:r>
      <w:r>
        <w:rPr>
          <w:rFonts w:eastAsia="方正楷体简体"/>
          <w:color w:val="000000"/>
          <w:sz w:val="34"/>
          <w:szCs w:val="34"/>
        </w:rPr>
        <w:t>日在天津市宁河区第二届人民</w:t>
      </w:r>
    </w:p>
    <w:p w14:paraId="13F08468">
      <w:pPr>
        <w:widowControl/>
        <w:spacing w:line="520" w:lineRule="exact"/>
        <w:jc w:val="center"/>
        <w:rPr>
          <w:rFonts w:eastAsia="方正楷体简体"/>
          <w:color w:val="000000"/>
          <w:sz w:val="34"/>
          <w:szCs w:val="34"/>
        </w:rPr>
      </w:pPr>
      <w:r>
        <w:rPr>
          <w:rFonts w:eastAsia="方正楷体简体"/>
          <w:color w:val="000000"/>
          <w:sz w:val="34"/>
          <w:szCs w:val="34"/>
        </w:rPr>
        <w:t>代表大会第</w:t>
      </w:r>
      <w:r>
        <w:rPr>
          <w:rFonts w:hint="eastAsia" w:eastAsia="方正楷体简体"/>
          <w:color w:val="000000"/>
          <w:sz w:val="34"/>
          <w:szCs w:val="34"/>
        </w:rPr>
        <w:t>六</w:t>
      </w:r>
      <w:r>
        <w:rPr>
          <w:rFonts w:eastAsia="方正楷体简体"/>
          <w:color w:val="000000"/>
          <w:sz w:val="34"/>
          <w:szCs w:val="34"/>
        </w:rPr>
        <w:t>次会议上</w:t>
      </w:r>
    </w:p>
    <w:p w14:paraId="75900ACA">
      <w:pPr>
        <w:widowControl/>
        <w:spacing w:line="560" w:lineRule="exact"/>
        <w:jc w:val="center"/>
        <w:rPr>
          <w:rFonts w:eastAsia="方正楷体简体"/>
          <w:bCs/>
          <w:color w:val="000000"/>
          <w:sz w:val="34"/>
          <w:szCs w:val="34"/>
        </w:rPr>
      </w:pPr>
      <w:r>
        <w:rPr>
          <w:rFonts w:eastAsia="方正楷体简体"/>
          <w:bCs/>
          <w:color w:val="000000"/>
          <w:sz w:val="34"/>
          <w:szCs w:val="34"/>
        </w:rPr>
        <w:t>宁河区财政局局长  李巍</w:t>
      </w:r>
    </w:p>
    <w:p w14:paraId="67BAB1DF">
      <w:pPr>
        <w:widowControl/>
        <w:spacing w:line="580" w:lineRule="exact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各位代表：</w:t>
      </w:r>
    </w:p>
    <w:p w14:paraId="54738517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我受区人民政府委托，向大会报告2019年财政预算执行情况和2020年财政预算草案，请予审议，并请区政协委员和其他列席会议人员提出意见。</w:t>
      </w:r>
    </w:p>
    <w:p w14:paraId="6DE34280">
      <w:pPr>
        <w:widowControl/>
        <w:spacing w:line="580" w:lineRule="exact"/>
        <w:ind w:firstLine="641"/>
        <w:jc w:val="left"/>
        <w:rPr>
          <w:rFonts w:eastAsia="方正黑体简体"/>
          <w:sz w:val="34"/>
          <w:szCs w:val="34"/>
        </w:rPr>
      </w:pPr>
      <w:r>
        <w:rPr>
          <w:rFonts w:hAnsi="方正黑体简体" w:eastAsia="方正黑体简体"/>
          <w:sz w:val="34"/>
          <w:szCs w:val="34"/>
        </w:rPr>
        <w:t>一、</w:t>
      </w:r>
      <w:r>
        <w:rPr>
          <w:rFonts w:eastAsia="方正黑体简体"/>
          <w:sz w:val="34"/>
          <w:szCs w:val="34"/>
        </w:rPr>
        <w:t>2019</w:t>
      </w:r>
      <w:r>
        <w:rPr>
          <w:rFonts w:hAnsi="方正黑体简体" w:eastAsia="方正黑体简体"/>
          <w:sz w:val="34"/>
          <w:szCs w:val="34"/>
        </w:rPr>
        <w:t>年财政预算执行情况</w:t>
      </w:r>
    </w:p>
    <w:p w14:paraId="15D3CFC7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2019年我区财政工作在区委的坚强领导下，在区人大的有效监督下，深入贯彻落实党的十九大和十九届二中、三中、四中全会精神，认真落实市委、市政府决策部署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紧紧围绕区委区政府年初确定的工作任务，有力推动高质量发展，努力调整财政收入结构，突出抓收入、抓管理、防范化解重大风险，保证政府机构正常运转、改善民生和经济建设支出。通过全区各部门、各镇和园区的共同努力，财政工作圆满完成了预期目标。</w:t>
      </w:r>
    </w:p>
    <w:p w14:paraId="2F7C243A">
      <w:pPr>
        <w:widowControl/>
        <w:spacing w:line="580" w:lineRule="atLeast"/>
        <w:ind w:firstLine="640"/>
        <w:jc w:val="left"/>
        <w:rPr>
          <w:rFonts w:eastAsia="方正楷体简体"/>
          <w:bCs/>
          <w:sz w:val="34"/>
          <w:szCs w:val="34"/>
        </w:rPr>
      </w:pPr>
      <w:r>
        <w:rPr>
          <w:rFonts w:hAnsi="方正楷体简体" w:eastAsia="方正楷体简体"/>
          <w:bCs/>
          <w:sz w:val="34"/>
          <w:szCs w:val="34"/>
        </w:rPr>
        <w:t>（一）预算收支情况</w:t>
      </w:r>
    </w:p>
    <w:p w14:paraId="72AD46DE">
      <w:pPr>
        <w:widowControl/>
        <w:spacing w:line="580" w:lineRule="atLeast"/>
        <w:ind w:firstLine="64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1.一般公共预算</w:t>
      </w:r>
    </w:p>
    <w:p w14:paraId="1FD6037C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</w:t>
      </w:r>
      <w:r>
        <w:rPr>
          <w:rFonts w:hint="eastAsia" w:eastAsia="方正仿宋简体"/>
          <w:color w:val="000000"/>
          <w:sz w:val="34"/>
          <w:szCs w:val="34"/>
        </w:rPr>
        <w:t>25</w:t>
      </w:r>
      <w:r>
        <w:rPr>
          <w:rFonts w:eastAsia="方正仿宋简体"/>
          <w:color w:val="000000"/>
          <w:sz w:val="34"/>
          <w:szCs w:val="34"/>
        </w:rPr>
        <w:t>亿元，完成调整预算</w:t>
      </w:r>
      <w:r>
        <w:rPr>
          <w:rFonts w:hint="eastAsia" w:eastAsia="方正仿宋简体"/>
          <w:color w:val="000000"/>
          <w:sz w:val="34"/>
          <w:szCs w:val="34"/>
        </w:rPr>
        <w:t>100.9</w:t>
      </w:r>
      <w:r>
        <w:rPr>
          <w:rFonts w:eastAsia="方正仿宋简体"/>
          <w:color w:val="000000"/>
          <w:sz w:val="34"/>
          <w:szCs w:val="34"/>
        </w:rPr>
        <w:t>%，同比增长</w:t>
      </w:r>
      <w:r>
        <w:rPr>
          <w:rFonts w:hint="eastAsia" w:eastAsia="方正仿宋简体"/>
          <w:color w:val="000000"/>
          <w:sz w:val="34"/>
          <w:szCs w:val="34"/>
        </w:rPr>
        <w:t>17.7</w:t>
      </w:r>
      <w:r>
        <w:rPr>
          <w:rFonts w:eastAsia="方正仿宋简体"/>
          <w:color w:val="000000"/>
          <w:sz w:val="34"/>
          <w:szCs w:val="34"/>
        </w:rPr>
        <w:t>%。其中：税收收入</w:t>
      </w:r>
      <w:r>
        <w:rPr>
          <w:rFonts w:hint="eastAsia" w:eastAsia="方正仿宋简体"/>
          <w:color w:val="000000"/>
          <w:sz w:val="34"/>
          <w:szCs w:val="34"/>
        </w:rPr>
        <w:t>18.4</w:t>
      </w:r>
      <w:r>
        <w:rPr>
          <w:rFonts w:eastAsia="方正仿宋简体"/>
          <w:color w:val="000000"/>
          <w:sz w:val="34"/>
          <w:szCs w:val="34"/>
        </w:rPr>
        <w:t>亿元，同比增长</w:t>
      </w:r>
      <w:r>
        <w:rPr>
          <w:rFonts w:hint="eastAsia" w:eastAsia="方正仿宋简体"/>
          <w:color w:val="000000"/>
          <w:sz w:val="34"/>
          <w:szCs w:val="34"/>
        </w:rPr>
        <w:t>6.5</w:t>
      </w:r>
      <w:r>
        <w:rPr>
          <w:rFonts w:eastAsia="方正仿宋简体"/>
          <w:color w:val="000000"/>
          <w:sz w:val="34"/>
          <w:szCs w:val="34"/>
        </w:rPr>
        <w:t>%，占一般公共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收入比重达到</w:t>
      </w:r>
      <w:r>
        <w:rPr>
          <w:rFonts w:hint="eastAsia" w:eastAsia="方正仿宋简体"/>
          <w:color w:val="000000"/>
          <w:sz w:val="34"/>
          <w:szCs w:val="34"/>
        </w:rPr>
        <w:t>73.6</w:t>
      </w:r>
      <w:r>
        <w:rPr>
          <w:rFonts w:eastAsia="方正仿宋简体"/>
          <w:color w:val="000000"/>
          <w:sz w:val="34"/>
          <w:szCs w:val="34"/>
        </w:rPr>
        <w:t>%；非税收入</w:t>
      </w:r>
      <w:r>
        <w:rPr>
          <w:rFonts w:hint="eastAsia" w:eastAsia="方正仿宋简体"/>
          <w:color w:val="000000"/>
          <w:sz w:val="34"/>
          <w:szCs w:val="34"/>
        </w:rPr>
        <w:t>6.6</w:t>
      </w:r>
      <w:r>
        <w:rPr>
          <w:rFonts w:eastAsia="方正仿宋简体"/>
          <w:color w:val="000000"/>
          <w:sz w:val="34"/>
          <w:szCs w:val="34"/>
        </w:rPr>
        <w:t>亿元，同比增长</w:t>
      </w:r>
      <w:r>
        <w:rPr>
          <w:rFonts w:hint="eastAsia" w:eastAsia="方正仿宋简体"/>
          <w:color w:val="000000"/>
          <w:sz w:val="34"/>
          <w:szCs w:val="34"/>
        </w:rPr>
        <w:t>66.4</w:t>
      </w:r>
      <w:r>
        <w:rPr>
          <w:rFonts w:eastAsia="方正仿宋简体"/>
          <w:color w:val="000000"/>
          <w:sz w:val="34"/>
          <w:szCs w:val="34"/>
        </w:rPr>
        <w:t>%。一般公共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收入增长的主要原因是：一是招商引资工作不断深入，重点行业对全区税收增长支撑明显。二是教育幼儿园保育费、耕地开垦资金纳入一般公共预算收入。</w:t>
      </w:r>
    </w:p>
    <w:p w14:paraId="60B048F0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</w:t>
      </w:r>
      <w:r>
        <w:rPr>
          <w:rFonts w:hint="eastAsia" w:eastAsia="方正仿宋简体"/>
          <w:color w:val="000000"/>
          <w:sz w:val="34"/>
          <w:szCs w:val="34"/>
        </w:rPr>
        <w:t>25</w:t>
      </w:r>
      <w:r>
        <w:rPr>
          <w:rFonts w:eastAsia="方正仿宋简体"/>
          <w:color w:val="000000"/>
          <w:sz w:val="34"/>
          <w:szCs w:val="34"/>
        </w:rPr>
        <w:t>亿元，加上市级税收返还和转移支付</w:t>
      </w:r>
      <w:r>
        <w:rPr>
          <w:rFonts w:hint="eastAsia" w:eastAsia="方正仿宋简体"/>
          <w:color w:val="000000"/>
          <w:sz w:val="34"/>
          <w:szCs w:val="34"/>
        </w:rPr>
        <w:t>28.9</w:t>
      </w:r>
      <w:r>
        <w:rPr>
          <w:rFonts w:eastAsia="方正仿宋简体"/>
          <w:color w:val="000000"/>
          <w:sz w:val="34"/>
          <w:szCs w:val="34"/>
        </w:rPr>
        <w:t>亿元，一般债券4亿元，</w:t>
      </w:r>
      <w:r>
        <w:rPr>
          <w:rFonts w:hint="eastAsia" w:eastAsia="方正仿宋简体"/>
          <w:color w:val="000000"/>
          <w:sz w:val="34"/>
          <w:szCs w:val="34"/>
        </w:rPr>
        <w:t>再融资</w:t>
      </w:r>
      <w:r>
        <w:rPr>
          <w:rFonts w:eastAsia="方正仿宋简体"/>
          <w:color w:val="000000"/>
          <w:sz w:val="34"/>
          <w:szCs w:val="34"/>
        </w:rPr>
        <w:t>置换债券</w:t>
      </w:r>
      <w:r>
        <w:rPr>
          <w:rFonts w:hint="eastAsia" w:eastAsia="方正仿宋简体"/>
          <w:color w:val="000000"/>
          <w:sz w:val="34"/>
          <w:szCs w:val="34"/>
        </w:rPr>
        <w:t>收入</w:t>
      </w:r>
      <w:r>
        <w:rPr>
          <w:rFonts w:eastAsia="方正仿宋简体"/>
          <w:color w:val="000000"/>
          <w:sz w:val="34"/>
          <w:szCs w:val="34"/>
        </w:rPr>
        <w:t>3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9亿元，调入资金</w:t>
      </w:r>
      <w:r>
        <w:rPr>
          <w:rFonts w:hint="eastAsia" w:eastAsia="方正仿宋简体"/>
          <w:color w:val="000000"/>
          <w:sz w:val="34"/>
          <w:szCs w:val="34"/>
        </w:rPr>
        <w:t>9.1</w:t>
      </w:r>
      <w:r>
        <w:rPr>
          <w:rFonts w:eastAsia="方正仿宋简体"/>
          <w:color w:val="000000"/>
          <w:sz w:val="34"/>
          <w:szCs w:val="34"/>
        </w:rPr>
        <w:t>亿元，动用预算稳定调节资金4</w:t>
      </w:r>
      <w:r>
        <w:rPr>
          <w:rFonts w:hint="eastAsia" w:eastAsia="方正仿宋简体"/>
          <w:color w:val="000000"/>
          <w:sz w:val="34"/>
          <w:szCs w:val="34"/>
        </w:rPr>
        <w:t>.2</w:t>
      </w:r>
      <w:r>
        <w:rPr>
          <w:rFonts w:eastAsia="方正仿宋简体"/>
          <w:color w:val="000000"/>
          <w:sz w:val="34"/>
          <w:szCs w:val="34"/>
        </w:rPr>
        <w:t>亿元，上年结转8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4亿元，预算总收入</w:t>
      </w:r>
      <w:r>
        <w:rPr>
          <w:rFonts w:hint="eastAsia" w:eastAsia="方正仿宋简体"/>
          <w:color w:val="000000"/>
          <w:sz w:val="34"/>
          <w:szCs w:val="34"/>
        </w:rPr>
        <w:t>预计83.5</w:t>
      </w:r>
      <w:r>
        <w:rPr>
          <w:rFonts w:eastAsia="方正仿宋简体"/>
          <w:color w:val="000000"/>
          <w:sz w:val="34"/>
          <w:szCs w:val="34"/>
        </w:rPr>
        <w:t>亿元。一般公共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支出</w:t>
      </w:r>
      <w:r>
        <w:rPr>
          <w:rFonts w:hint="eastAsia" w:eastAsia="方正仿宋简体"/>
          <w:color w:val="000000"/>
          <w:sz w:val="34"/>
          <w:szCs w:val="34"/>
        </w:rPr>
        <w:t>73.4</w:t>
      </w:r>
      <w:r>
        <w:rPr>
          <w:rFonts w:eastAsia="方正仿宋简体"/>
          <w:color w:val="000000"/>
          <w:sz w:val="34"/>
          <w:szCs w:val="34"/>
        </w:rPr>
        <w:t>亿元，完成调整预算</w:t>
      </w:r>
      <w:r>
        <w:rPr>
          <w:rFonts w:hint="eastAsia" w:eastAsia="方正仿宋简体"/>
          <w:color w:val="000000"/>
          <w:sz w:val="34"/>
          <w:szCs w:val="34"/>
        </w:rPr>
        <w:t>100.6</w:t>
      </w:r>
      <w:r>
        <w:rPr>
          <w:rFonts w:eastAsia="方正仿宋简体"/>
          <w:color w:val="000000"/>
          <w:sz w:val="34"/>
          <w:szCs w:val="34"/>
        </w:rPr>
        <w:t>%。预算总收入</w:t>
      </w:r>
      <w:r>
        <w:rPr>
          <w:rFonts w:hint="eastAsia" w:eastAsia="方正仿宋简体"/>
          <w:color w:val="000000"/>
          <w:sz w:val="34"/>
          <w:szCs w:val="34"/>
        </w:rPr>
        <w:t>83.5</w:t>
      </w:r>
      <w:r>
        <w:rPr>
          <w:rFonts w:eastAsia="方正仿宋简体"/>
          <w:color w:val="000000"/>
          <w:sz w:val="34"/>
          <w:szCs w:val="34"/>
        </w:rPr>
        <w:t>亿元，减去一般公共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支出</w:t>
      </w:r>
      <w:r>
        <w:rPr>
          <w:rFonts w:hint="eastAsia" w:eastAsia="方正仿宋简体"/>
          <w:color w:val="000000"/>
          <w:sz w:val="34"/>
          <w:szCs w:val="34"/>
        </w:rPr>
        <w:t>、上解</w:t>
      </w:r>
      <w:r>
        <w:rPr>
          <w:rFonts w:eastAsia="方正仿宋简体"/>
          <w:color w:val="000000"/>
          <w:sz w:val="34"/>
          <w:szCs w:val="34"/>
        </w:rPr>
        <w:t>支出和</w:t>
      </w:r>
      <w:r>
        <w:rPr>
          <w:rFonts w:hint="eastAsia" w:eastAsia="方正仿宋简体"/>
          <w:color w:val="000000"/>
          <w:sz w:val="34"/>
          <w:szCs w:val="34"/>
        </w:rPr>
        <w:t>再融资</w:t>
      </w:r>
      <w:r>
        <w:rPr>
          <w:rFonts w:eastAsia="方正仿宋简体"/>
          <w:color w:val="000000"/>
          <w:sz w:val="34"/>
          <w:szCs w:val="34"/>
        </w:rPr>
        <w:t>置换债券</w:t>
      </w:r>
      <w:r>
        <w:rPr>
          <w:rFonts w:hint="eastAsia" w:eastAsia="方正仿宋简体"/>
          <w:color w:val="000000"/>
          <w:sz w:val="34"/>
          <w:szCs w:val="34"/>
        </w:rPr>
        <w:t>支出等79.5</w:t>
      </w:r>
      <w:r>
        <w:rPr>
          <w:rFonts w:eastAsia="方正仿宋简体"/>
          <w:color w:val="000000"/>
          <w:sz w:val="34"/>
          <w:szCs w:val="34"/>
        </w:rPr>
        <w:t>亿元，当年结转</w:t>
      </w:r>
      <w:r>
        <w:rPr>
          <w:rFonts w:hint="eastAsia" w:eastAsia="方正仿宋简体"/>
          <w:color w:val="000000"/>
          <w:sz w:val="34"/>
          <w:szCs w:val="34"/>
        </w:rPr>
        <w:t>4</w:t>
      </w:r>
      <w:r>
        <w:rPr>
          <w:rFonts w:eastAsia="方正仿宋简体"/>
          <w:color w:val="000000"/>
          <w:sz w:val="34"/>
          <w:szCs w:val="34"/>
        </w:rPr>
        <w:t>亿元，全部为结转项目资金。</w:t>
      </w:r>
    </w:p>
    <w:p w14:paraId="3AF14AFC">
      <w:pPr>
        <w:widowControl/>
        <w:spacing w:line="580" w:lineRule="atLeast"/>
        <w:ind w:firstLine="64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2.政府性基金预算</w:t>
      </w:r>
    </w:p>
    <w:p w14:paraId="5E457B9E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政府性基金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</w:t>
      </w:r>
      <w:r>
        <w:rPr>
          <w:rFonts w:hint="eastAsia" w:eastAsia="方正仿宋简体"/>
          <w:color w:val="000000"/>
          <w:sz w:val="34"/>
          <w:szCs w:val="34"/>
        </w:rPr>
        <w:t>32</w:t>
      </w:r>
      <w:r>
        <w:rPr>
          <w:rFonts w:eastAsia="方正仿宋简体"/>
          <w:color w:val="000000"/>
          <w:sz w:val="34"/>
          <w:szCs w:val="34"/>
        </w:rPr>
        <w:t>亿元，完成调整预算的</w:t>
      </w:r>
      <w:r>
        <w:rPr>
          <w:rFonts w:hint="eastAsia" w:eastAsia="方正仿宋简体"/>
          <w:color w:val="000000"/>
          <w:sz w:val="34"/>
          <w:szCs w:val="34"/>
        </w:rPr>
        <w:t>100.2</w:t>
      </w:r>
      <w:r>
        <w:rPr>
          <w:rFonts w:eastAsia="方正仿宋简体"/>
          <w:color w:val="000000"/>
          <w:sz w:val="34"/>
          <w:szCs w:val="34"/>
        </w:rPr>
        <w:t>%，比上年增长</w:t>
      </w:r>
      <w:r>
        <w:rPr>
          <w:rFonts w:hint="eastAsia" w:eastAsia="方正仿宋简体"/>
          <w:color w:val="000000"/>
          <w:sz w:val="34"/>
          <w:szCs w:val="34"/>
        </w:rPr>
        <w:t>128.6</w:t>
      </w:r>
      <w:r>
        <w:rPr>
          <w:rFonts w:eastAsia="方正仿宋简体"/>
          <w:color w:val="000000"/>
          <w:sz w:val="34"/>
          <w:szCs w:val="34"/>
        </w:rPr>
        <w:t>%，其中</w:t>
      </w:r>
      <w:r>
        <w:rPr>
          <w:rFonts w:hint="eastAsia" w:eastAsia="方正仿宋简体"/>
          <w:color w:val="000000"/>
          <w:sz w:val="34"/>
          <w:szCs w:val="34"/>
        </w:rPr>
        <w:t>国有</w:t>
      </w:r>
      <w:r>
        <w:rPr>
          <w:rFonts w:eastAsia="方正仿宋简体"/>
          <w:color w:val="000000"/>
          <w:sz w:val="34"/>
          <w:szCs w:val="34"/>
        </w:rPr>
        <w:t>土地</w:t>
      </w:r>
      <w:r>
        <w:rPr>
          <w:rFonts w:hint="eastAsia" w:eastAsia="方正仿宋简体"/>
          <w:color w:val="000000"/>
          <w:sz w:val="34"/>
          <w:szCs w:val="34"/>
        </w:rPr>
        <w:t>使用权</w:t>
      </w:r>
      <w:r>
        <w:rPr>
          <w:rFonts w:eastAsia="方正仿宋简体"/>
          <w:color w:val="000000"/>
          <w:sz w:val="34"/>
          <w:szCs w:val="34"/>
        </w:rPr>
        <w:t>出让收入</w:t>
      </w:r>
      <w:r>
        <w:rPr>
          <w:rFonts w:hint="eastAsia" w:eastAsia="方正仿宋简体"/>
          <w:color w:val="000000"/>
          <w:sz w:val="34"/>
          <w:szCs w:val="34"/>
        </w:rPr>
        <w:t>26.5</w:t>
      </w:r>
      <w:r>
        <w:rPr>
          <w:rFonts w:eastAsia="方正仿宋简体"/>
          <w:color w:val="000000"/>
          <w:sz w:val="34"/>
          <w:szCs w:val="34"/>
        </w:rPr>
        <w:t>亿元，增长</w:t>
      </w:r>
      <w:r>
        <w:rPr>
          <w:rFonts w:hint="eastAsia" w:eastAsia="方正仿宋简体"/>
          <w:color w:val="000000"/>
          <w:sz w:val="34"/>
          <w:szCs w:val="34"/>
        </w:rPr>
        <w:t>209.8</w:t>
      </w:r>
      <w:r>
        <w:rPr>
          <w:rFonts w:eastAsia="方正仿宋简体"/>
          <w:color w:val="000000"/>
          <w:sz w:val="34"/>
          <w:szCs w:val="34"/>
        </w:rPr>
        <w:t>%。政府性基金</w:t>
      </w:r>
      <w:r>
        <w:rPr>
          <w:rFonts w:hint="eastAsia" w:eastAsia="方正仿宋简体"/>
          <w:color w:val="000000"/>
          <w:sz w:val="34"/>
          <w:szCs w:val="34"/>
        </w:rPr>
        <w:t>预算</w:t>
      </w:r>
      <w:r>
        <w:rPr>
          <w:rFonts w:eastAsia="方正仿宋简体"/>
          <w:color w:val="000000"/>
          <w:sz w:val="34"/>
          <w:szCs w:val="34"/>
        </w:rPr>
        <w:t>收入</w:t>
      </w:r>
      <w:r>
        <w:rPr>
          <w:rFonts w:hint="eastAsia" w:eastAsia="方正仿宋简体"/>
          <w:color w:val="000000"/>
          <w:sz w:val="34"/>
          <w:szCs w:val="34"/>
        </w:rPr>
        <w:t>32</w:t>
      </w:r>
      <w:r>
        <w:rPr>
          <w:rFonts w:eastAsia="方正仿宋简体"/>
          <w:color w:val="000000"/>
          <w:sz w:val="34"/>
          <w:szCs w:val="34"/>
        </w:rPr>
        <w:t>亿元，加上市级转移支付</w:t>
      </w:r>
      <w:r>
        <w:rPr>
          <w:rFonts w:hint="eastAsia" w:eastAsia="方正仿宋简体"/>
          <w:color w:val="000000"/>
          <w:sz w:val="34"/>
          <w:szCs w:val="34"/>
        </w:rPr>
        <w:t>0.4</w:t>
      </w:r>
      <w:r>
        <w:rPr>
          <w:rFonts w:eastAsia="方正仿宋简体"/>
          <w:color w:val="000000"/>
          <w:sz w:val="34"/>
          <w:szCs w:val="34"/>
        </w:rPr>
        <w:t>亿元，专项债券26亿元，上年结转2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7亿元，预算总收入</w:t>
      </w:r>
      <w:r>
        <w:rPr>
          <w:rFonts w:hint="eastAsia" w:eastAsia="方正仿宋简体"/>
          <w:color w:val="000000"/>
          <w:sz w:val="34"/>
          <w:szCs w:val="34"/>
        </w:rPr>
        <w:t>预计61.1</w:t>
      </w:r>
      <w:r>
        <w:rPr>
          <w:rFonts w:eastAsia="方正仿宋简体"/>
          <w:color w:val="000000"/>
          <w:sz w:val="34"/>
          <w:szCs w:val="34"/>
        </w:rPr>
        <w:t>亿元。政府性基金支出</w:t>
      </w:r>
      <w:r>
        <w:rPr>
          <w:rFonts w:hint="eastAsia" w:eastAsia="方正仿宋简体"/>
          <w:color w:val="000000"/>
          <w:sz w:val="34"/>
          <w:szCs w:val="34"/>
        </w:rPr>
        <w:t>54.7</w:t>
      </w:r>
      <w:r>
        <w:rPr>
          <w:rFonts w:eastAsia="方正仿宋简体"/>
          <w:color w:val="000000"/>
          <w:sz w:val="34"/>
          <w:szCs w:val="34"/>
        </w:rPr>
        <w:t>亿元，完成调整预算的</w:t>
      </w:r>
      <w:r>
        <w:rPr>
          <w:rFonts w:hint="eastAsia" w:eastAsia="方正仿宋简体"/>
          <w:color w:val="000000"/>
          <w:sz w:val="34"/>
          <w:szCs w:val="34"/>
        </w:rPr>
        <w:t>100</w:t>
      </w:r>
      <w:r>
        <w:rPr>
          <w:rFonts w:eastAsia="方正仿宋简体"/>
          <w:color w:val="000000"/>
          <w:sz w:val="34"/>
          <w:szCs w:val="34"/>
        </w:rPr>
        <w:t>%，增长</w:t>
      </w:r>
      <w:r>
        <w:rPr>
          <w:rFonts w:hint="eastAsia" w:eastAsia="方正仿宋简体"/>
          <w:color w:val="000000"/>
          <w:sz w:val="34"/>
          <w:szCs w:val="34"/>
        </w:rPr>
        <w:t>37.6</w:t>
      </w:r>
      <w:r>
        <w:rPr>
          <w:rFonts w:eastAsia="方正仿宋简体"/>
          <w:color w:val="000000"/>
          <w:sz w:val="34"/>
          <w:szCs w:val="34"/>
        </w:rPr>
        <w:t>%。预算总收入</w:t>
      </w:r>
      <w:r>
        <w:rPr>
          <w:rFonts w:hint="eastAsia" w:eastAsia="方正仿宋简体"/>
          <w:color w:val="000000"/>
          <w:sz w:val="34"/>
          <w:szCs w:val="34"/>
        </w:rPr>
        <w:t>61.1</w:t>
      </w:r>
      <w:r>
        <w:rPr>
          <w:rFonts w:eastAsia="方正仿宋简体"/>
          <w:color w:val="000000"/>
          <w:sz w:val="34"/>
          <w:szCs w:val="34"/>
        </w:rPr>
        <w:t>亿元，减去当年支出</w:t>
      </w:r>
      <w:r>
        <w:rPr>
          <w:rFonts w:hint="eastAsia" w:eastAsia="方正仿宋简体"/>
          <w:color w:val="000000"/>
          <w:sz w:val="34"/>
          <w:szCs w:val="34"/>
        </w:rPr>
        <w:t>54.7</w:t>
      </w:r>
      <w:r>
        <w:rPr>
          <w:rFonts w:eastAsia="方正仿宋简体"/>
          <w:color w:val="000000"/>
          <w:sz w:val="34"/>
          <w:szCs w:val="34"/>
        </w:rPr>
        <w:t>亿元，调出资金</w:t>
      </w:r>
      <w:r>
        <w:rPr>
          <w:rFonts w:hint="eastAsia" w:eastAsia="方正仿宋简体"/>
          <w:color w:val="000000"/>
          <w:sz w:val="34"/>
          <w:szCs w:val="34"/>
        </w:rPr>
        <w:t>3.2</w:t>
      </w:r>
      <w:r>
        <w:rPr>
          <w:rFonts w:eastAsia="方正仿宋简体"/>
          <w:color w:val="000000"/>
          <w:sz w:val="34"/>
          <w:szCs w:val="34"/>
        </w:rPr>
        <w:t>亿元，当年结转</w:t>
      </w:r>
      <w:r>
        <w:rPr>
          <w:rFonts w:hint="eastAsia" w:eastAsia="方正仿宋简体"/>
          <w:color w:val="000000"/>
          <w:sz w:val="34"/>
          <w:szCs w:val="34"/>
        </w:rPr>
        <w:t>3.2</w:t>
      </w:r>
      <w:r>
        <w:rPr>
          <w:rFonts w:eastAsia="方正仿宋简体"/>
          <w:color w:val="000000"/>
          <w:sz w:val="34"/>
          <w:szCs w:val="34"/>
        </w:rPr>
        <w:t>亿元，全部为结转项目资金。</w:t>
      </w:r>
    </w:p>
    <w:p w14:paraId="0BFA42DC">
      <w:pPr>
        <w:widowControl/>
        <w:spacing w:line="580" w:lineRule="atLeast"/>
        <w:ind w:firstLine="64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3.地方政府债务</w:t>
      </w:r>
    </w:p>
    <w:p w14:paraId="26067127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经市政府批准，市财政局核定我区201</w:t>
      </w:r>
      <w:r>
        <w:rPr>
          <w:rFonts w:hint="eastAsia" w:eastAsia="方正仿宋简体"/>
          <w:color w:val="000000"/>
          <w:sz w:val="34"/>
          <w:szCs w:val="34"/>
        </w:rPr>
        <w:t>9</w:t>
      </w:r>
      <w:r>
        <w:rPr>
          <w:rFonts w:eastAsia="方正仿宋简体"/>
          <w:color w:val="000000"/>
          <w:sz w:val="34"/>
          <w:szCs w:val="34"/>
        </w:rPr>
        <w:t>年政府债务限额118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45亿元，其中2018年</w:t>
      </w:r>
      <w:r>
        <w:rPr>
          <w:rFonts w:hint="eastAsia" w:eastAsia="方正仿宋简体"/>
          <w:color w:val="000000"/>
          <w:sz w:val="34"/>
          <w:szCs w:val="34"/>
        </w:rPr>
        <w:t>政府债务限额88.45亿元</w:t>
      </w:r>
      <w:r>
        <w:rPr>
          <w:rFonts w:eastAsia="方正仿宋简体"/>
          <w:color w:val="000000"/>
          <w:sz w:val="34"/>
          <w:szCs w:val="34"/>
        </w:rPr>
        <w:t>，2019年新增30亿元。截止2019年末政府债务余额118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45亿元。</w:t>
      </w:r>
    </w:p>
    <w:p w14:paraId="1F37657F">
      <w:pPr>
        <w:widowControl/>
        <w:spacing w:line="580" w:lineRule="exact"/>
        <w:ind w:firstLine="641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需要说明的是，由于市与我区财政结算工作未结束，部分数据还未最终确定，待结算完成后，相关数据还需做相应调整。</w:t>
      </w:r>
    </w:p>
    <w:p w14:paraId="1C3C8239">
      <w:pPr>
        <w:widowControl/>
        <w:spacing w:line="580" w:lineRule="atLeast"/>
        <w:ind w:firstLine="640"/>
        <w:jc w:val="left"/>
        <w:rPr>
          <w:rFonts w:eastAsia="方正楷体简体"/>
          <w:bCs/>
          <w:sz w:val="34"/>
          <w:szCs w:val="34"/>
        </w:rPr>
      </w:pPr>
      <w:r>
        <w:rPr>
          <w:rFonts w:hAnsi="方正楷体简体" w:eastAsia="方正楷体简体"/>
          <w:bCs/>
          <w:sz w:val="34"/>
          <w:szCs w:val="34"/>
        </w:rPr>
        <w:t>（二）财政主要工作情况</w:t>
      </w:r>
    </w:p>
    <w:p w14:paraId="310CA3EB">
      <w:pPr>
        <w:widowControl/>
        <w:spacing w:line="580" w:lineRule="atLeast"/>
        <w:ind w:firstLine="680" w:firstLineChars="200"/>
        <w:jc w:val="left"/>
        <w:rPr>
          <w:rFonts w:eastAsia="方正仿宋简体"/>
          <w:b/>
          <w:bCs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 xml:space="preserve"> 1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充分发挥财政职能，推动经济高质量发展</w:t>
      </w:r>
    </w:p>
    <w:p w14:paraId="0B3E3EC9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区财政局在区委区政府的领导下，积极组织财政收入，在地方可用财力不足的情况下，通过加大政府债券发行额度、争取上级专项资金，清理、盘活部门存量资金，化解暂付款项等举措，积极平衡财政收支预算。按照区人代会确定的支出预算，严格预算执行，大力压减一般性经费及“三公”经费支出，保障“三保”支出</w:t>
      </w:r>
      <w:r>
        <w:rPr>
          <w:rFonts w:hint="eastAsia" w:eastAsia="方正仿宋简体"/>
          <w:color w:val="000000"/>
          <w:sz w:val="34"/>
          <w:szCs w:val="34"/>
        </w:rPr>
        <w:t>需求</w:t>
      </w:r>
      <w:r>
        <w:rPr>
          <w:rFonts w:eastAsia="方正仿宋简体"/>
          <w:color w:val="000000"/>
          <w:sz w:val="34"/>
          <w:szCs w:val="34"/>
        </w:rPr>
        <w:t>。“八项重点支出”稳步增长，保证各项事业发展的资金需求，推动了我区经济社会的健康发展。今年共清理收回单位存量资金</w:t>
      </w:r>
      <w:r>
        <w:rPr>
          <w:rFonts w:hint="eastAsia" w:eastAsia="方正仿宋简体"/>
          <w:color w:val="000000"/>
          <w:sz w:val="34"/>
          <w:szCs w:val="34"/>
        </w:rPr>
        <w:t>6.2</w:t>
      </w:r>
      <w:r>
        <w:rPr>
          <w:rFonts w:eastAsia="方正仿宋简体"/>
          <w:color w:val="000000"/>
          <w:sz w:val="34"/>
          <w:szCs w:val="34"/>
        </w:rPr>
        <w:t>亿元，全年统筹安排存量资金</w:t>
      </w:r>
      <w:r>
        <w:rPr>
          <w:rFonts w:hint="eastAsia" w:eastAsia="方正仿宋简体"/>
          <w:color w:val="000000"/>
          <w:sz w:val="34"/>
          <w:szCs w:val="34"/>
        </w:rPr>
        <w:t>4.2</w:t>
      </w:r>
      <w:r>
        <w:rPr>
          <w:rFonts w:eastAsia="方正仿宋简体"/>
          <w:color w:val="000000"/>
          <w:sz w:val="34"/>
          <w:szCs w:val="34"/>
        </w:rPr>
        <w:t>亿元，从而缓解了财力和资金双重压力。按照市委、市政府的要求，大力化解暂付款项，全年消化暂付款</w:t>
      </w:r>
      <w:r>
        <w:rPr>
          <w:rFonts w:hint="eastAsia" w:eastAsia="方正仿宋简体"/>
          <w:color w:val="000000"/>
          <w:sz w:val="34"/>
          <w:szCs w:val="34"/>
        </w:rPr>
        <w:t>11.7</w:t>
      </w:r>
      <w:r>
        <w:rPr>
          <w:rFonts w:eastAsia="方正仿宋简体"/>
          <w:color w:val="000000"/>
          <w:sz w:val="34"/>
          <w:szCs w:val="34"/>
        </w:rPr>
        <w:t>亿元。</w:t>
      </w:r>
    </w:p>
    <w:p w14:paraId="6271569B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 xml:space="preserve"> 2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统筹安排严控风险，打好三大攻坚战</w:t>
      </w:r>
    </w:p>
    <w:p w14:paraId="1F619203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防范化解政府债务风险。全面落实中央和市委市政府守底线、不发生系统性债务风险的指示精神，严控新增隐性债务，多渠道筹措资金及时足额归还隐性债务，超额、提前完成全年化债任务和新增化债任务。</w:t>
      </w:r>
    </w:p>
    <w:p w14:paraId="5BDC7925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加大扶贫助困支持力度。一是做好对口支援工作，2019年支援西藏贡觉县财政资金</w:t>
      </w:r>
      <w:r>
        <w:rPr>
          <w:rFonts w:hint="eastAsia" w:eastAsia="方正仿宋简体"/>
          <w:color w:val="000000"/>
          <w:sz w:val="34"/>
          <w:szCs w:val="34"/>
        </w:rPr>
        <w:t>0.</w:t>
      </w:r>
      <w:r>
        <w:rPr>
          <w:rFonts w:eastAsia="方正仿宋简体"/>
          <w:color w:val="000000"/>
          <w:sz w:val="34"/>
          <w:szCs w:val="34"/>
        </w:rPr>
        <w:t>13</w:t>
      </w:r>
      <w:r>
        <w:rPr>
          <w:rFonts w:eastAsia="方正仿宋简体"/>
          <w:sz w:val="34"/>
          <w:szCs w:val="34"/>
        </w:rPr>
        <w:t>亿元，主要用于建设</w:t>
      </w:r>
      <w:r>
        <w:rPr>
          <w:rFonts w:eastAsia="方正仿宋简体"/>
          <w:color w:val="000000"/>
          <w:sz w:val="34"/>
          <w:szCs w:val="34"/>
        </w:rPr>
        <w:t>贡觉县曲卡小康示范村项目，受益牧民涉及21户117人。二是加大东西部扶贫投入力度，2019年区财政</w:t>
      </w:r>
      <w:r>
        <w:rPr>
          <w:rFonts w:hint="eastAsia" w:eastAsia="方正仿宋简体"/>
          <w:color w:val="000000"/>
          <w:sz w:val="34"/>
          <w:szCs w:val="34"/>
        </w:rPr>
        <w:t>支持</w:t>
      </w:r>
      <w:r>
        <w:rPr>
          <w:rFonts w:eastAsia="方正仿宋简体"/>
          <w:color w:val="000000"/>
          <w:sz w:val="34"/>
          <w:szCs w:val="34"/>
        </w:rPr>
        <w:t>甘肃榆中县扶贫资金</w:t>
      </w:r>
      <w:r>
        <w:rPr>
          <w:rFonts w:hint="eastAsia" w:eastAsia="方正仿宋简体"/>
          <w:color w:val="000000"/>
          <w:sz w:val="34"/>
          <w:szCs w:val="34"/>
        </w:rPr>
        <w:t>0.31</w:t>
      </w:r>
      <w:r>
        <w:rPr>
          <w:rFonts w:eastAsia="方正仿宋简体"/>
          <w:color w:val="000000"/>
          <w:sz w:val="34"/>
          <w:szCs w:val="34"/>
        </w:rPr>
        <w:t>亿元，主要用于农业产业扶持项目，带动当地经济发展。三是</w:t>
      </w:r>
      <w:r>
        <w:rPr>
          <w:rFonts w:hint="eastAsia" w:eastAsia="方正仿宋简体"/>
          <w:color w:val="000000"/>
          <w:sz w:val="34"/>
          <w:szCs w:val="34"/>
        </w:rPr>
        <w:t>保障新一轮结对帮扶村工作顺利实施。按照《中共天津市政府关于开展新一轮结对帮扶困难村工作的实施意见》，把支持新一轮结对帮扶困难村工作</w:t>
      </w:r>
      <w:r>
        <w:rPr>
          <w:rFonts w:hint="eastAsia" w:eastAsia="方正仿宋简体"/>
          <w:color w:val="000000"/>
          <w:sz w:val="34"/>
          <w:szCs w:val="34"/>
          <w:lang w:eastAsia="zh-CN"/>
        </w:rPr>
        <w:t>作</w:t>
      </w:r>
      <w:r>
        <w:rPr>
          <w:rFonts w:hint="eastAsia" w:eastAsia="方正仿宋简体"/>
          <w:color w:val="000000"/>
          <w:sz w:val="34"/>
          <w:szCs w:val="34"/>
        </w:rPr>
        <w:t>为财政支农工作的重中之重，安排资金0.98亿元，支持了困难村产业帮扶和基础设施帮扶</w:t>
      </w:r>
      <w:r>
        <w:rPr>
          <w:rFonts w:eastAsia="方正仿宋简体"/>
          <w:color w:val="000000"/>
          <w:sz w:val="34"/>
          <w:szCs w:val="34"/>
        </w:rPr>
        <w:t>。</w:t>
      </w:r>
    </w:p>
    <w:p w14:paraId="1D056A1C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积极改善生态环境。一是坚持绿水青山就是金山银山的理念，</w:t>
      </w:r>
      <w:r>
        <w:rPr>
          <w:rFonts w:hint="eastAsia" w:eastAsia="方正仿宋简体"/>
          <w:color w:val="000000"/>
          <w:sz w:val="34"/>
          <w:szCs w:val="34"/>
        </w:rPr>
        <w:t>全年投入17</w:t>
      </w:r>
      <w:r>
        <w:rPr>
          <w:rFonts w:eastAsia="方正仿宋简体"/>
          <w:color w:val="000000"/>
          <w:sz w:val="34"/>
          <w:szCs w:val="34"/>
        </w:rPr>
        <w:t>亿元用于推动七里海生态保护修复工作，打造全国湿地保护修复的样板和生物多样性示范基地。二是投入资金2亿元，助力双城间绿色生态屏障建设。三是加大环保投入力度，坚决打赢蓝天保卫战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做好</w:t>
      </w:r>
      <w:r>
        <w:rPr>
          <w:rFonts w:hint="eastAsia" w:eastAsia="方正仿宋简体"/>
          <w:color w:val="000000"/>
          <w:sz w:val="34"/>
          <w:szCs w:val="34"/>
        </w:rPr>
        <w:t>清洁取暖项目</w:t>
      </w:r>
      <w:r>
        <w:rPr>
          <w:rFonts w:eastAsia="方正仿宋简体"/>
          <w:color w:val="000000"/>
          <w:sz w:val="34"/>
          <w:szCs w:val="34"/>
        </w:rPr>
        <w:t>资金保障，</w:t>
      </w:r>
      <w:r>
        <w:rPr>
          <w:rFonts w:hint="eastAsia" w:eastAsia="方正仿宋简体"/>
          <w:color w:val="000000"/>
          <w:sz w:val="34"/>
          <w:szCs w:val="34"/>
        </w:rPr>
        <w:t>“</w:t>
      </w:r>
      <w:r>
        <w:rPr>
          <w:rFonts w:eastAsia="方正仿宋简体"/>
          <w:color w:val="000000"/>
          <w:sz w:val="34"/>
          <w:szCs w:val="34"/>
        </w:rPr>
        <w:t>煤改燃</w:t>
      </w:r>
      <w:r>
        <w:rPr>
          <w:rFonts w:hint="eastAsia" w:eastAsia="方正仿宋简体"/>
          <w:color w:val="000000"/>
          <w:sz w:val="34"/>
          <w:szCs w:val="34"/>
        </w:rPr>
        <w:t>”</w:t>
      </w:r>
      <w:r>
        <w:rPr>
          <w:rFonts w:eastAsia="方正仿宋简体"/>
          <w:color w:val="000000"/>
          <w:sz w:val="34"/>
          <w:szCs w:val="34"/>
        </w:rPr>
        <w:t>、</w:t>
      </w:r>
      <w:r>
        <w:rPr>
          <w:rFonts w:hint="eastAsia" w:eastAsia="方正仿宋简体"/>
          <w:color w:val="000000"/>
          <w:sz w:val="34"/>
          <w:szCs w:val="34"/>
        </w:rPr>
        <w:t>“</w:t>
      </w:r>
      <w:r>
        <w:rPr>
          <w:rFonts w:eastAsia="方正仿宋简体"/>
          <w:color w:val="000000"/>
          <w:sz w:val="34"/>
          <w:szCs w:val="34"/>
        </w:rPr>
        <w:t>煤改电</w:t>
      </w:r>
      <w:r>
        <w:rPr>
          <w:rFonts w:hint="eastAsia" w:eastAsia="方正仿宋简体"/>
          <w:color w:val="000000"/>
          <w:sz w:val="34"/>
          <w:szCs w:val="34"/>
        </w:rPr>
        <w:t>”</w:t>
      </w:r>
      <w:r>
        <w:rPr>
          <w:rFonts w:eastAsia="方正仿宋简体"/>
          <w:color w:val="000000"/>
          <w:sz w:val="34"/>
          <w:szCs w:val="34"/>
        </w:rPr>
        <w:t>项目</w:t>
      </w:r>
      <w:r>
        <w:rPr>
          <w:rFonts w:hint="eastAsia" w:eastAsia="方正仿宋简体"/>
          <w:color w:val="000000"/>
          <w:sz w:val="34"/>
          <w:szCs w:val="34"/>
        </w:rPr>
        <w:t>投入</w:t>
      </w:r>
      <w:r>
        <w:rPr>
          <w:rFonts w:eastAsia="方正仿宋简体"/>
          <w:color w:val="000000"/>
          <w:sz w:val="34"/>
          <w:szCs w:val="34"/>
        </w:rPr>
        <w:t>资金1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8</w:t>
      </w:r>
      <w:r>
        <w:rPr>
          <w:rFonts w:hint="eastAsia" w:eastAsia="方正仿宋简体"/>
          <w:color w:val="000000"/>
          <w:sz w:val="34"/>
          <w:szCs w:val="34"/>
        </w:rPr>
        <w:t>5</w:t>
      </w:r>
      <w:r>
        <w:rPr>
          <w:rFonts w:eastAsia="方正仿宋简体"/>
          <w:color w:val="000000"/>
          <w:sz w:val="34"/>
          <w:szCs w:val="34"/>
        </w:rPr>
        <w:t>亿元。</w:t>
      </w:r>
    </w:p>
    <w:p w14:paraId="47BA2561">
      <w:pPr>
        <w:widowControl/>
        <w:spacing w:line="580" w:lineRule="atLeast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 xml:space="preserve"> </w:t>
      </w:r>
      <w:r>
        <w:rPr>
          <w:rFonts w:hint="eastAsia" w:eastAsia="方正仿宋简体"/>
          <w:color w:val="000000"/>
          <w:sz w:val="34"/>
          <w:szCs w:val="34"/>
        </w:rPr>
        <w:t xml:space="preserve">    </w:t>
      </w:r>
      <w:r>
        <w:rPr>
          <w:rFonts w:eastAsia="方正仿宋简体"/>
          <w:color w:val="000000"/>
          <w:sz w:val="34"/>
          <w:szCs w:val="34"/>
        </w:rPr>
        <w:t>3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多方筹措资金，加大民生领域投入</w:t>
      </w:r>
    </w:p>
    <w:p w14:paraId="40B30038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持续</w:t>
      </w:r>
      <w:r>
        <w:rPr>
          <w:rFonts w:hint="eastAsia" w:eastAsia="方正仿宋简体"/>
          <w:color w:val="000000"/>
          <w:sz w:val="34"/>
          <w:szCs w:val="34"/>
        </w:rPr>
        <w:t>加大</w:t>
      </w:r>
      <w:r>
        <w:rPr>
          <w:rFonts w:eastAsia="方正仿宋简体"/>
          <w:color w:val="000000"/>
          <w:sz w:val="34"/>
          <w:szCs w:val="34"/>
        </w:rPr>
        <w:t>民生支出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2019年区财政继续加大资金投入，全年共安排民生支出</w:t>
      </w:r>
      <w:r>
        <w:rPr>
          <w:rFonts w:hint="eastAsia" w:eastAsia="方正仿宋简体"/>
          <w:color w:val="000000"/>
          <w:sz w:val="34"/>
          <w:szCs w:val="34"/>
        </w:rPr>
        <w:t>57.53</w:t>
      </w:r>
      <w:r>
        <w:rPr>
          <w:rFonts w:eastAsia="方正仿宋简体"/>
          <w:color w:val="000000"/>
          <w:sz w:val="34"/>
          <w:szCs w:val="34"/>
        </w:rPr>
        <w:t>亿元</w:t>
      </w:r>
      <w:r>
        <w:rPr>
          <w:rFonts w:hint="eastAsia" w:eastAsia="方正仿宋简体"/>
          <w:color w:val="000000"/>
          <w:sz w:val="34"/>
          <w:szCs w:val="34"/>
        </w:rPr>
        <w:t>。</w:t>
      </w:r>
      <w:r>
        <w:rPr>
          <w:rFonts w:eastAsia="方正仿宋简体"/>
          <w:color w:val="000000"/>
          <w:sz w:val="34"/>
          <w:szCs w:val="34"/>
        </w:rPr>
        <w:t>统筹实施民心工程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按照区委、区政府的统一部署，积极筹措资金落实我区20项民心工程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全力推进</w:t>
      </w:r>
      <w:r>
        <w:rPr>
          <w:rFonts w:hint="eastAsia" w:eastAsia="方正仿宋简体"/>
          <w:color w:val="000000"/>
          <w:sz w:val="34"/>
          <w:szCs w:val="34"/>
        </w:rPr>
        <w:t>乡村公路提升、农村户厕改造、文化中心新建</w:t>
      </w:r>
      <w:r>
        <w:rPr>
          <w:rFonts w:eastAsia="方正仿宋简体"/>
          <w:color w:val="000000"/>
          <w:sz w:val="34"/>
          <w:szCs w:val="34"/>
        </w:rPr>
        <w:t>、</w:t>
      </w:r>
      <w:r>
        <w:rPr>
          <w:rFonts w:hint="eastAsia" w:eastAsia="方正仿宋简体"/>
          <w:color w:val="000000"/>
          <w:sz w:val="34"/>
          <w:szCs w:val="34"/>
        </w:rPr>
        <w:t>老旧小区</w:t>
      </w:r>
      <w:r>
        <w:rPr>
          <w:rFonts w:eastAsia="方正仿宋简体"/>
          <w:color w:val="000000"/>
          <w:sz w:val="34"/>
          <w:szCs w:val="34"/>
        </w:rPr>
        <w:t>远年住房改造</w:t>
      </w:r>
      <w:r>
        <w:rPr>
          <w:rFonts w:hint="eastAsia" w:eastAsia="方正仿宋简体"/>
          <w:color w:val="000000"/>
          <w:sz w:val="34"/>
          <w:szCs w:val="34"/>
        </w:rPr>
        <w:t>及桥北新区实验学校建设</w:t>
      </w:r>
      <w:r>
        <w:rPr>
          <w:rFonts w:eastAsia="方正仿宋简体"/>
          <w:color w:val="000000"/>
          <w:sz w:val="34"/>
          <w:szCs w:val="34"/>
        </w:rPr>
        <w:t>等重点项目，着力解决人民群众普遍关心的突出问题，坚持统筹协调、合力攻关，切实把民心工程做实、做好。</w:t>
      </w:r>
    </w:p>
    <w:p w14:paraId="336ED1E4">
      <w:pPr>
        <w:widowControl/>
        <w:spacing w:line="580" w:lineRule="atLeast"/>
        <w:ind w:firstLine="850" w:firstLineChars="25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4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强化预算管理，建立现代财政管理体系</w:t>
      </w:r>
    </w:p>
    <w:p w14:paraId="6374A92F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积极推动预算绩效管理。发挥财政职能作用，以全面实施预算绩效管理为突破口，推动财政资金聚力增效，提高公共服务供给质量。努力做到“花钱必问效，无效必问责”，预算绩效管理工作贯穿预算编制、预算执行和财政决算全过程。为进一步落实预算绩效管理工作，一方面组织全区行政事业单位相关人员进行预算绩效</w:t>
      </w:r>
      <w:r>
        <w:rPr>
          <w:rFonts w:hint="eastAsia" w:eastAsia="方正仿宋简体"/>
          <w:color w:val="000000"/>
          <w:sz w:val="34"/>
          <w:szCs w:val="34"/>
        </w:rPr>
        <w:t>业务</w:t>
      </w:r>
      <w:r>
        <w:rPr>
          <w:rFonts w:eastAsia="方正仿宋简体"/>
          <w:color w:val="000000"/>
          <w:sz w:val="34"/>
          <w:szCs w:val="34"/>
        </w:rPr>
        <w:t>培训，提高</w:t>
      </w:r>
      <w:r>
        <w:rPr>
          <w:rFonts w:hint="eastAsia" w:eastAsia="方正仿宋简体"/>
          <w:color w:val="000000"/>
          <w:sz w:val="34"/>
          <w:szCs w:val="34"/>
        </w:rPr>
        <w:t>工作</w:t>
      </w:r>
      <w:r>
        <w:rPr>
          <w:rFonts w:eastAsia="方正仿宋简体"/>
          <w:color w:val="000000"/>
          <w:sz w:val="34"/>
          <w:szCs w:val="34"/>
        </w:rPr>
        <w:t>人员的认识和操作水平。另一方面通过引进第三方的方式，对项目的执行和结果进行客观评价</w:t>
      </w:r>
      <w:r>
        <w:rPr>
          <w:rFonts w:hint="eastAsia" w:eastAsia="方正仿宋简体"/>
          <w:color w:val="000000"/>
          <w:sz w:val="34"/>
          <w:szCs w:val="34"/>
        </w:rPr>
        <w:t>，</w:t>
      </w:r>
      <w:r>
        <w:rPr>
          <w:rFonts w:eastAsia="方正仿宋简体"/>
          <w:color w:val="000000"/>
          <w:sz w:val="34"/>
          <w:szCs w:val="34"/>
        </w:rPr>
        <w:t>根据预算绩效评价结果科学、合理安排财政支出预算，全面提高财政资金的使用效益。</w:t>
      </w:r>
    </w:p>
    <w:p w14:paraId="738677A7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积极推进国库集中支付电子化改革进程。国库集中支付电子化管理，是建立现代国库管理制度的一项基础性和战略性工作。为提高我区财政国库集中支付运行效率，强化财政资金安全保障，将全面实施国库集中支付电子化。培训、调试和试运行等准备工作已经</w:t>
      </w:r>
      <w:r>
        <w:rPr>
          <w:rFonts w:hint="eastAsia" w:eastAsia="方正仿宋简体"/>
          <w:color w:val="000000"/>
          <w:sz w:val="34"/>
          <w:szCs w:val="34"/>
        </w:rPr>
        <w:t>完成</w:t>
      </w:r>
      <w:r>
        <w:rPr>
          <w:rFonts w:eastAsia="方正仿宋简体"/>
          <w:color w:val="000000"/>
          <w:sz w:val="34"/>
          <w:szCs w:val="34"/>
        </w:rPr>
        <w:t>，于2020年1月1日正式上线运行。</w:t>
      </w:r>
    </w:p>
    <w:p w14:paraId="3CDF8C82">
      <w:pPr>
        <w:widowControl/>
        <w:spacing w:line="580" w:lineRule="atLeast"/>
        <w:ind w:firstLine="64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5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优化营商环境，</w:t>
      </w:r>
      <w:r>
        <w:rPr>
          <w:rFonts w:hint="eastAsia" w:eastAsia="方正仿宋简体"/>
          <w:color w:val="000000"/>
          <w:sz w:val="34"/>
          <w:szCs w:val="34"/>
        </w:rPr>
        <w:t>推动经济高质量发展</w:t>
      </w:r>
    </w:p>
    <w:p w14:paraId="7FC765BC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优化政府采购，助力小微企业发展。政府采购工作紧紧围绕全区经济建设大局，全方位拓展政府采购范围，着力培育公平、公正、公开的竞争机制和市场环境，我区完成政府采购项目282项，采购预算9.5亿元，实际采购金额9.21亿元，节约资金0.29亿元，节约率3.4%。积极发挥政府采购定向支持中小企业发展的政策，为中小企业提供参与政府采购机会，促进中小企业健康发展。</w:t>
      </w:r>
    </w:p>
    <w:p w14:paraId="33110F49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落实减税降费政策，激发企业发展活力。为落实国家一系列的减负政策，对企业税收、行政事业性收费和政府性基金收入做了进一步调整。2019年全区减税降费合计减免金额达到</w:t>
      </w:r>
      <w:r>
        <w:rPr>
          <w:rFonts w:hint="eastAsia" w:eastAsia="方正仿宋简体"/>
          <w:color w:val="000000"/>
          <w:sz w:val="34"/>
          <w:szCs w:val="34"/>
        </w:rPr>
        <w:t>10</w:t>
      </w:r>
      <w:r>
        <w:rPr>
          <w:rFonts w:eastAsia="方正仿宋简体"/>
          <w:color w:val="000000"/>
          <w:sz w:val="34"/>
          <w:szCs w:val="34"/>
        </w:rPr>
        <w:t>亿元。企业负担明显减轻，对区域经济增长和激发市场主体活力效果明显。</w:t>
      </w:r>
    </w:p>
    <w:p w14:paraId="0A994041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eastAsia="方正仿宋简体"/>
          <w:color w:val="000000"/>
          <w:sz w:val="34"/>
          <w:szCs w:val="34"/>
        </w:rPr>
        <w:t>6</w:t>
      </w:r>
      <w:r>
        <w:rPr>
          <w:rFonts w:hint="eastAsia" w:eastAsia="方正仿宋简体"/>
          <w:color w:val="000000"/>
          <w:sz w:val="34"/>
          <w:szCs w:val="34"/>
        </w:rPr>
        <w:t>.</w:t>
      </w:r>
      <w:r>
        <w:rPr>
          <w:rFonts w:eastAsia="方正仿宋简体"/>
          <w:color w:val="000000"/>
          <w:sz w:val="34"/>
          <w:szCs w:val="34"/>
        </w:rPr>
        <w:t>积极推动金融服务实体经济发展</w:t>
      </w:r>
    </w:p>
    <w:p w14:paraId="33211678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hint="eastAsia" w:eastAsia="方正仿宋简体"/>
          <w:color w:val="000000"/>
          <w:sz w:val="34"/>
          <w:szCs w:val="34"/>
        </w:rPr>
        <w:t>提高金融保障能力。建立健全银政企沟通交流机制，拓宽企业融资渠道，拉动更多金融资本，助推宁河经济社会发展，2019年全区存贷款余额540.72亿元，同比增长14.54%。</w:t>
      </w:r>
    </w:p>
    <w:p w14:paraId="2D0A93DA">
      <w:pPr>
        <w:widowControl/>
        <w:spacing w:line="580" w:lineRule="atLeast"/>
        <w:ind w:firstLine="680" w:firstLineChars="200"/>
        <w:jc w:val="left"/>
        <w:rPr>
          <w:rFonts w:eastAsia="方正仿宋简体"/>
          <w:color w:val="000000"/>
          <w:sz w:val="34"/>
          <w:szCs w:val="34"/>
        </w:rPr>
      </w:pPr>
      <w:r>
        <w:rPr>
          <w:rFonts w:hint="eastAsia" w:eastAsia="方正仿宋简体"/>
          <w:color w:val="000000"/>
          <w:sz w:val="34"/>
          <w:szCs w:val="34"/>
        </w:rPr>
        <w:t>加大金融创新力度。发挥政府财政资金的引导作用，创新融资方式，设立“宁河区水稻种植风险补偿基金”。积极推进信用村整村授信工作。2019年整村授信25个村，建档7233户，授信额度3.82亿元，用信金额0.54亿元。</w:t>
      </w:r>
    </w:p>
    <w:p w14:paraId="063B23F6">
      <w:pPr>
        <w:widowControl/>
        <w:spacing w:line="580" w:lineRule="atLeast"/>
        <w:ind w:firstLine="680" w:firstLineChars="200"/>
        <w:jc w:val="left"/>
        <w:rPr>
          <w:rFonts w:eastAsia="方正黑体简体"/>
          <w:sz w:val="34"/>
          <w:szCs w:val="34"/>
        </w:rPr>
      </w:pPr>
      <w:r>
        <w:rPr>
          <w:rFonts w:hAnsi="方正黑体简体" w:eastAsia="方正黑体简体"/>
          <w:sz w:val="34"/>
          <w:szCs w:val="34"/>
        </w:rPr>
        <w:t>二、</w:t>
      </w:r>
      <w:r>
        <w:rPr>
          <w:rFonts w:eastAsia="方正黑体简体"/>
          <w:sz w:val="34"/>
          <w:szCs w:val="34"/>
        </w:rPr>
        <w:t>2020</w:t>
      </w:r>
      <w:r>
        <w:rPr>
          <w:rFonts w:hAnsi="方正黑体简体" w:eastAsia="方正黑体简体"/>
          <w:sz w:val="34"/>
          <w:szCs w:val="34"/>
        </w:rPr>
        <w:t>年预算草案</w:t>
      </w:r>
    </w:p>
    <w:p w14:paraId="3F23CAEC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2020年是深化财税体制改革的关键年，为适应新形势的需要，保证财政各项工作的顺利实施，充分发挥财政职能，聚焦工作目标和重点任务，强化收入征管，优化支出结构，统筹、盘活、用好各类资金，重点保障“三保”支出需求，努力开创财政工作新局面。</w:t>
      </w:r>
    </w:p>
    <w:p w14:paraId="5E31F3BE">
      <w:pPr>
        <w:widowControl/>
        <w:spacing w:line="580" w:lineRule="atLeast"/>
        <w:ind w:firstLine="640"/>
        <w:jc w:val="left"/>
        <w:rPr>
          <w:rFonts w:eastAsia="方正楷体简体"/>
          <w:bCs/>
          <w:sz w:val="34"/>
          <w:szCs w:val="34"/>
        </w:rPr>
      </w:pPr>
      <w:r>
        <w:rPr>
          <w:rFonts w:hAnsi="方正楷体简体" w:eastAsia="方正楷体简体"/>
          <w:bCs/>
          <w:sz w:val="34"/>
          <w:szCs w:val="34"/>
        </w:rPr>
        <w:t>（一）</w:t>
      </w:r>
      <w:r>
        <w:rPr>
          <w:rFonts w:eastAsia="方正楷体简体"/>
          <w:bCs/>
          <w:sz w:val="34"/>
          <w:szCs w:val="34"/>
        </w:rPr>
        <w:t>2020</w:t>
      </w:r>
      <w:r>
        <w:rPr>
          <w:rFonts w:hAnsi="方正楷体简体" w:eastAsia="方正楷体简体"/>
          <w:bCs/>
          <w:sz w:val="34"/>
          <w:szCs w:val="34"/>
        </w:rPr>
        <w:t>年财政预算草案编制的指导思想和总体思路</w:t>
      </w:r>
    </w:p>
    <w:p w14:paraId="3902DBF2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以习近平新时代中国特色社会主义思想为指导，</w:t>
      </w:r>
      <w:r>
        <w:rPr>
          <w:rFonts w:eastAsia="方正仿宋简体"/>
          <w:color w:val="000000"/>
          <w:sz w:val="34"/>
          <w:szCs w:val="34"/>
        </w:rPr>
        <w:t>深入贯彻落实党的十九大和十九届二中、三中、四中全会精神，认真落实市委、市政府决策部署。全面落实区委全会各项部署要求，坚持稳中求进工作总基调，坚持发展新理念，加快建立现代财政制度，全面实施预算绩效管理，防范化解债务风险，增强财政</w:t>
      </w:r>
      <w:r>
        <w:rPr>
          <w:rFonts w:hint="eastAsia" w:eastAsia="方正仿宋简体"/>
          <w:color w:val="000000"/>
          <w:sz w:val="34"/>
          <w:szCs w:val="34"/>
        </w:rPr>
        <w:t>可</w:t>
      </w:r>
      <w:r>
        <w:rPr>
          <w:rFonts w:eastAsia="方正仿宋简体"/>
          <w:color w:val="000000"/>
          <w:sz w:val="34"/>
          <w:szCs w:val="34"/>
        </w:rPr>
        <w:t>持续性发展</w:t>
      </w:r>
    </w:p>
    <w:p w14:paraId="38456B7A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依据上述指导思想，按照“突出重点、统筹兼顾，厉行节约、注重绩效，</w:t>
      </w:r>
      <w:r>
        <w:rPr>
          <w:rFonts w:hint="eastAsia" w:eastAsia="方正仿宋简体"/>
          <w:sz w:val="34"/>
          <w:szCs w:val="34"/>
        </w:rPr>
        <w:t>坚守</w:t>
      </w:r>
      <w:r>
        <w:rPr>
          <w:rFonts w:eastAsia="方正仿宋简体"/>
          <w:sz w:val="34"/>
          <w:szCs w:val="34"/>
        </w:rPr>
        <w:t>底线、防范风险”的总体思路，本着“尽力而为、量力而行”的原则，深化财政体制改革，</w:t>
      </w:r>
      <w:r>
        <w:rPr>
          <w:rFonts w:eastAsia="方正仿宋简体"/>
          <w:color w:val="333333"/>
          <w:sz w:val="34"/>
          <w:szCs w:val="34"/>
        </w:rPr>
        <w:t>严格实施零基预算，</w:t>
      </w:r>
      <w:r>
        <w:rPr>
          <w:rFonts w:eastAsia="方正仿宋简体"/>
          <w:sz w:val="34"/>
          <w:szCs w:val="34"/>
        </w:rPr>
        <w:t>持续压减一般性支出和“三公”经费支出，</w:t>
      </w:r>
      <w:r>
        <w:rPr>
          <w:rFonts w:hint="eastAsia" w:eastAsia="方正仿宋简体"/>
          <w:sz w:val="34"/>
          <w:szCs w:val="34"/>
        </w:rPr>
        <w:t>牢牢兜住</w:t>
      </w:r>
      <w:r>
        <w:rPr>
          <w:rFonts w:eastAsia="方正仿宋简体"/>
          <w:sz w:val="34"/>
          <w:szCs w:val="34"/>
        </w:rPr>
        <w:t>“三保”</w:t>
      </w:r>
      <w:r>
        <w:rPr>
          <w:rFonts w:hint="eastAsia" w:eastAsia="方正仿宋简体"/>
          <w:sz w:val="34"/>
          <w:szCs w:val="34"/>
        </w:rPr>
        <w:t>底线</w:t>
      </w:r>
      <w:r>
        <w:rPr>
          <w:rFonts w:eastAsia="方正仿宋简体"/>
          <w:sz w:val="34"/>
          <w:szCs w:val="34"/>
        </w:rPr>
        <w:t>，科学合理编制2020年财政预算。</w:t>
      </w:r>
    </w:p>
    <w:p w14:paraId="5E87CB3B">
      <w:pPr>
        <w:widowControl/>
        <w:spacing w:line="580" w:lineRule="atLeast"/>
        <w:ind w:firstLine="640"/>
        <w:jc w:val="left"/>
        <w:rPr>
          <w:rFonts w:eastAsia="方正楷体简体"/>
          <w:bCs/>
          <w:sz w:val="34"/>
          <w:szCs w:val="34"/>
        </w:rPr>
      </w:pPr>
      <w:r>
        <w:rPr>
          <w:rFonts w:hAnsi="方正楷体简体" w:eastAsia="方正楷体简体"/>
          <w:bCs/>
          <w:sz w:val="34"/>
          <w:szCs w:val="34"/>
        </w:rPr>
        <w:t>（二）</w:t>
      </w:r>
      <w:r>
        <w:rPr>
          <w:rFonts w:eastAsia="方正楷体简体"/>
          <w:bCs/>
          <w:sz w:val="34"/>
          <w:szCs w:val="34"/>
        </w:rPr>
        <w:t>2020</w:t>
      </w:r>
      <w:r>
        <w:rPr>
          <w:rFonts w:hAnsi="方正楷体简体" w:eastAsia="方正楷体简体"/>
          <w:bCs/>
          <w:sz w:val="34"/>
          <w:szCs w:val="34"/>
        </w:rPr>
        <w:t>年财政收支预算草案</w:t>
      </w:r>
    </w:p>
    <w:p w14:paraId="61471D90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1.一般公共预算</w:t>
      </w:r>
    </w:p>
    <w:p w14:paraId="4C4D04A6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2020年一般公共收入预算25</w:t>
      </w:r>
      <w:r>
        <w:rPr>
          <w:rFonts w:hint="eastAsia" w:eastAsia="方正仿宋简体"/>
          <w:sz w:val="34"/>
          <w:szCs w:val="34"/>
        </w:rPr>
        <w:t>.</w:t>
      </w:r>
      <w:r>
        <w:rPr>
          <w:rFonts w:eastAsia="方正仿宋简体"/>
          <w:sz w:val="34"/>
          <w:szCs w:val="34"/>
        </w:rPr>
        <w:t>5亿元，比上年增长</w:t>
      </w:r>
      <w:r>
        <w:rPr>
          <w:rFonts w:hint="eastAsia" w:eastAsia="方正仿宋简体"/>
          <w:sz w:val="34"/>
          <w:szCs w:val="34"/>
        </w:rPr>
        <w:t>2</w:t>
      </w:r>
      <w:r>
        <w:rPr>
          <w:rFonts w:eastAsia="方正仿宋简体"/>
          <w:sz w:val="34"/>
          <w:szCs w:val="34"/>
        </w:rPr>
        <w:t>%。其中：税收收入预算</w:t>
      </w:r>
      <w:r>
        <w:rPr>
          <w:rFonts w:hint="eastAsia" w:eastAsia="方正仿宋简体"/>
          <w:sz w:val="34"/>
          <w:szCs w:val="34"/>
        </w:rPr>
        <w:t>18.6</w:t>
      </w:r>
      <w:r>
        <w:rPr>
          <w:rFonts w:eastAsia="方正仿宋简体"/>
          <w:sz w:val="34"/>
          <w:szCs w:val="34"/>
        </w:rPr>
        <w:t>亿元，增长</w:t>
      </w:r>
      <w:r>
        <w:rPr>
          <w:rFonts w:hint="eastAsia" w:eastAsia="方正仿宋简体"/>
          <w:sz w:val="34"/>
          <w:szCs w:val="34"/>
        </w:rPr>
        <w:t>0.7</w:t>
      </w:r>
      <w:r>
        <w:rPr>
          <w:rFonts w:eastAsia="方正仿宋简体"/>
          <w:sz w:val="34"/>
          <w:szCs w:val="34"/>
        </w:rPr>
        <w:t>%；非税收入预算</w:t>
      </w:r>
      <w:r>
        <w:rPr>
          <w:rFonts w:hint="eastAsia" w:eastAsia="方正仿宋简体"/>
          <w:sz w:val="34"/>
          <w:szCs w:val="34"/>
        </w:rPr>
        <w:t>6.9</w:t>
      </w:r>
      <w:r>
        <w:rPr>
          <w:rFonts w:eastAsia="方正仿宋简体"/>
          <w:sz w:val="34"/>
          <w:szCs w:val="34"/>
        </w:rPr>
        <w:t>亿元，增长</w:t>
      </w:r>
      <w:r>
        <w:rPr>
          <w:rFonts w:hint="eastAsia" w:eastAsia="方正仿宋简体"/>
          <w:sz w:val="34"/>
          <w:szCs w:val="34"/>
        </w:rPr>
        <w:t>5.3</w:t>
      </w:r>
      <w:r>
        <w:rPr>
          <w:rFonts w:eastAsia="方正仿宋简体"/>
          <w:sz w:val="34"/>
          <w:szCs w:val="34"/>
        </w:rPr>
        <w:t>%。</w:t>
      </w:r>
      <w:r>
        <w:rPr>
          <w:rFonts w:hint="eastAsia" w:eastAsia="方正仿宋简体"/>
          <w:color w:val="000000" w:themeColor="text1"/>
          <w:sz w:val="34"/>
          <w:szCs w:val="34"/>
        </w:rPr>
        <w:t>一般</w:t>
      </w:r>
      <w:r>
        <w:rPr>
          <w:rFonts w:hint="eastAsia" w:eastAsia="方正仿宋简体"/>
          <w:sz w:val="34"/>
          <w:szCs w:val="34"/>
        </w:rPr>
        <w:t>公共预算收入</w:t>
      </w:r>
      <w:r>
        <w:rPr>
          <w:rFonts w:eastAsia="方正仿宋简体"/>
          <w:sz w:val="34"/>
          <w:szCs w:val="34"/>
        </w:rPr>
        <w:t>加上预计市级税收返还和转移支付</w:t>
      </w:r>
      <w:r>
        <w:rPr>
          <w:rFonts w:hint="eastAsia" w:eastAsia="方正仿宋简体"/>
          <w:sz w:val="34"/>
          <w:szCs w:val="34"/>
        </w:rPr>
        <w:t>28.7</w:t>
      </w:r>
      <w:r>
        <w:rPr>
          <w:rFonts w:eastAsia="方正仿宋简体"/>
          <w:sz w:val="34"/>
          <w:szCs w:val="34"/>
        </w:rPr>
        <w:t>亿元，调入资金</w:t>
      </w:r>
      <w:r>
        <w:rPr>
          <w:rFonts w:hint="eastAsia" w:eastAsia="方正仿宋简体"/>
          <w:sz w:val="34"/>
          <w:szCs w:val="34"/>
        </w:rPr>
        <w:t>14</w:t>
      </w:r>
      <w:r>
        <w:rPr>
          <w:rFonts w:eastAsia="方正仿宋简体"/>
          <w:sz w:val="34"/>
          <w:szCs w:val="34"/>
        </w:rPr>
        <w:t>亿元，</w:t>
      </w:r>
      <w:r>
        <w:rPr>
          <w:rFonts w:hint="eastAsia" w:eastAsia="方正仿宋简体"/>
          <w:sz w:val="34"/>
          <w:szCs w:val="34"/>
        </w:rPr>
        <w:t>动用预算稳定调节基金0.2亿元，</w:t>
      </w:r>
      <w:r>
        <w:rPr>
          <w:rFonts w:eastAsia="方正仿宋简体"/>
          <w:sz w:val="34"/>
          <w:szCs w:val="34"/>
        </w:rPr>
        <w:t>上年结转</w:t>
      </w:r>
      <w:r>
        <w:rPr>
          <w:rFonts w:hint="eastAsia" w:eastAsia="方正仿宋简体"/>
          <w:sz w:val="34"/>
          <w:szCs w:val="34"/>
        </w:rPr>
        <w:t>4</w:t>
      </w:r>
      <w:r>
        <w:rPr>
          <w:rFonts w:eastAsia="方正仿宋简体"/>
          <w:sz w:val="34"/>
          <w:szCs w:val="34"/>
        </w:rPr>
        <w:t>亿元，预算总收入为</w:t>
      </w:r>
      <w:r>
        <w:rPr>
          <w:rFonts w:hint="eastAsia" w:eastAsia="方正仿宋简体"/>
          <w:sz w:val="34"/>
          <w:szCs w:val="34"/>
        </w:rPr>
        <w:t>72.4</w:t>
      </w:r>
      <w:r>
        <w:rPr>
          <w:rFonts w:eastAsia="方正仿宋简体"/>
          <w:sz w:val="34"/>
          <w:szCs w:val="34"/>
        </w:rPr>
        <w:t>亿元。</w:t>
      </w:r>
    </w:p>
    <w:p w14:paraId="43205DB6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2020年一般公共支出预算</w:t>
      </w:r>
      <w:r>
        <w:rPr>
          <w:rFonts w:hint="eastAsia" w:eastAsia="方正仿宋简体"/>
          <w:sz w:val="34"/>
          <w:szCs w:val="34"/>
        </w:rPr>
        <w:t>70.5</w:t>
      </w:r>
      <w:r>
        <w:rPr>
          <w:rFonts w:eastAsia="方正仿宋简体"/>
          <w:sz w:val="34"/>
          <w:szCs w:val="34"/>
        </w:rPr>
        <w:t>亿元，比上年下降</w:t>
      </w:r>
      <w:r>
        <w:rPr>
          <w:rFonts w:hint="eastAsia" w:eastAsia="方正仿宋简体"/>
          <w:sz w:val="34"/>
          <w:szCs w:val="34"/>
        </w:rPr>
        <w:t>4</w:t>
      </w:r>
      <w:r>
        <w:rPr>
          <w:rFonts w:eastAsia="方正仿宋简体"/>
          <w:sz w:val="34"/>
          <w:szCs w:val="34"/>
        </w:rPr>
        <w:t>%。</w:t>
      </w:r>
    </w:p>
    <w:p w14:paraId="1515405F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2.政府性基金预算</w:t>
      </w:r>
    </w:p>
    <w:p w14:paraId="5D2FD84A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2020年政府性基金收入预算</w:t>
      </w:r>
      <w:r>
        <w:rPr>
          <w:rFonts w:hint="eastAsia" w:eastAsia="方正仿宋简体"/>
          <w:sz w:val="34"/>
          <w:szCs w:val="34"/>
        </w:rPr>
        <w:t>82</w:t>
      </w:r>
      <w:r>
        <w:rPr>
          <w:rFonts w:eastAsia="方正仿宋简体"/>
          <w:sz w:val="34"/>
          <w:szCs w:val="34"/>
        </w:rPr>
        <w:t>亿元，比上年增长</w:t>
      </w:r>
      <w:r>
        <w:rPr>
          <w:rFonts w:hint="eastAsia" w:eastAsia="方正仿宋简体"/>
          <w:sz w:val="34"/>
          <w:szCs w:val="34"/>
        </w:rPr>
        <w:t>156.6</w:t>
      </w:r>
      <w:r>
        <w:rPr>
          <w:rFonts w:eastAsia="方正仿宋简体"/>
          <w:sz w:val="34"/>
          <w:szCs w:val="34"/>
        </w:rPr>
        <w:t>%</w:t>
      </w:r>
      <w:r>
        <w:rPr>
          <w:rFonts w:hint="eastAsia" w:eastAsia="方正仿宋简体"/>
          <w:sz w:val="34"/>
          <w:szCs w:val="34"/>
        </w:rPr>
        <w:t>。</w:t>
      </w:r>
      <w:r>
        <w:rPr>
          <w:rFonts w:eastAsia="方正仿宋简体"/>
          <w:sz w:val="34"/>
          <w:szCs w:val="34"/>
        </w:rPr>
        <w:t>加上上年结转</w:t>
      </w:r>
      <w:r>
        <w:rPr>
          <w:rFonts w:hint="eastAsia" w:eastAsia="方正仿宋简体"/>
          <w:sz w:val="34"/>
          <w:szCs w:val="34"/>
        </w:rPr>
        <w:t>3.2</w:t>
      </w:r>
      <w:r>
        <w:rPr>
          <w:rFonts w:eastAsia="方正仿宋简体"/>
          <w:sz w:val="34"/>
          <w:szCs w:val="34"/>
        </w:rPr>
        <w:t>亿元，预计总收入为</w:t>
      </w:r>
      <w:r>
        <w:rPr>
          <w:rFonts w:hint="eastAsia" w:eastAsia="方正仿宋简体"/>
          <w:sz w:val="34"/>
          <w:szCs w:val="34"/>
        </w:rPr>
        <w:t>85.2</w:t>
      </w:r>
      <w:r>
        <w:rPr>
          <w:rFonts w:eastAsia="方正仿宋简体"/>
          <w:sz w:val="34"/>
          <w:szCs w:val="34"/>
        </w:rPr>
        <w:t>亿元</w:t>
      </w:r>
      <w:r>
        <w:rPr>
          <w:rFonts w:hint="eastAsia" w:eastAsia="方正仿宋简体"/>
          <w:sz w:val="34"/>
          <w:szCs w:val="34"/>
        </w:rPr>
        <w:t>，调出资金14亿元，</w:t>
      </w:r>
      <w:r>
        <w:rPr>
          <w:rFonts w:eastAsia="方正仿宋简体"/>
          <w:sz w:val="34"/>
          <w:szCs w:val="34"/>
        </w:rPr>
        <w:t>政府性基金支出预算</w:t>
      </w:r>
      <w:r>
        <w:rPr>
          <w:rFonts w:hint="eastAsia" w:eastAsia="方正仿宋简体"/>
          <w:sz w:val="34"/>
          <w:szCs w:val="34"/>
        </w:rPr>
        <w:t>71.2</w:t>
      </w:r>
      <w:r>
        <w:rPr>
          <w:rFonts w:eastAsia="方正仿宋简体"/>
          <w:sz w:val="34"/>
          <w:szCs w:val="34"/>
        </w:rPr>
        <w:t>亿元，增长</w:t>
      </w:r>
      <w:r>
        <w:rPr>
          <w:rFonts w:hint="eastAsia" w:eastAsia="方正仿宋简体"/>
          <w:sz w:val="34"/>
          <w:szCs w:val="34"/>
        </w:rPr>
        <w:t>30.1</w:t>
      </w:r>
      <w:r>
        <w:rPr>
          <w:rFonts w:eastAsia="方正仿宋简体"/>
          <w:sz w:val="34"/>
          <w:szCs w:val="34"/>
        </w:rPr>
        <w:t>%。</w:t>
      </w:r>
    </w:p>
    <w:p w14:paraId="20742BCF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需要说明的是，根据《</w:t>
      </w:r>
      <w:r>
        <w:rPr>
          <w:rFonts w:hint="eastAsia" w:eastAsia="方正仿宋简体"/>
          <w:sz w:val="34"/>
          <w:szCs w:val="34"/>
          <w:lang w:eastAsia="zh-CN"/>
        </w:rPr>
        <w:t>中华人民共和国</w:t>
      </w:r>
      <w:r>
        <w:rPr>
          <w:rFonts w:eastAsia="方正仿宋简体"/>
          <w:sz w:val="34"/>
          <w:szCs w:val="34"/>
        </w:rPr>
        <w:t>预算法》有关规定，2020年预计争取的一般债券和专项债券额度</w:t>
      </w:r>
      <w:r>
        <w:rPr>
          <w:rFonts w:hint="eastAsia" w:eastAsia="方正仿宋简体"/>
          <w:sz w:val="34"/>
          <w:szCs w:val="34"/>
        </w:rPr>
        <w:t>尚未确定</w:t>
      </w:r>
      <w:r>
        <w:rPr>
          <w:rFonts w:eastAsia="方正仿宋简体"/>
          <w:sz w:val="34"/>
          <w:szCs w:val="34"/>
        </w:rPr>
        <w:t>，待市政府批复后，财政部门将编制预算调整方案，报区人大常委会批准。另外，预算年度开始后至区人代会批复区级预算草案前，按照2020年预算草案已预拨1月份运转经费</w:t>
      </w:r>
      <w:r>
        <w:rPr>
          <w:rFonts w:hint="eastAsia" w:eastAsia="方正仿宋简体"/>
          <w:sz w:val="34"/>
          <w:szCs w:val="34"/>
        </w:rPr>
        <w:t>3</w:t>
      </w:r>
      <w:r>
        <w:rPr>
          <w:rFonts w:eastAsia="方正仿宋简体"/>
          <w:sz w:val="34"/>
          <w:szCs w:val="34"/>
        </w:rPr>
        <w:t>亿元。</w:t>
      </w:r>
    </w:p>
    <w:p w14:paraId="198041BC">
      <w:pPr>
        <w:widowControl/>
        <w:spacing w:line="580" w:lineRule="atLeast"/>
        <w:ind w:firstLine="640"/>
        <w:jc w:val="left"/>
        <w:rPr>
          <w:rFonts w:eastAsia="方正黑体简体"/>
          <w:sz w:val="34"/>
          <w:szCs w:val="34"/>
        </w:rPr>
      </w:pPr>
      <w:r>
        <w:rPr>
          <w:rFonts w:hAnsi="方正黑体简体" w:eastAsia="方正黑体简体"/>
          <w:sz w:val="34"/>
          <w:szCs w:val="34"/>
        </w:rPr>
        <w:t>三、</w:t>
      </w:r>
      <w:r>
        <w:rPr>
          <w:rFonts w:eastAsia="方正黑体简体"/>
          <w:sz w:val="34"/>
          <w:szCs w:val="34"/>
        </w:rPr>
        <w:t>2020</w:t>
      </w:r>
      <w:r>
        <w:rPr>
          <w:rFonts w:hAnsi="方正黑体简体" w:eastAsia="方正黑体简体"/>
          <w:sz w:val="34"/>
          <w:szCs w:val="34"/>
        </w:rPr>
        <w:t>年工作任务</w:t>
      </w:r>
    </w:p>
    <w:p w14:paraId="7F596768">
      <w:pPr>
        <w:widowControl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2020年是全面建成小康社会的收官之年，做好财政各项工作意义重大，我们一定要认真贯彻区委、区政府决策部署，落实区人大有关决议，坚决履行好财政服务全区发展的职责使命，聚焦工作目标和重点任务，为促进全区经济社会高质量发展</w:t>
      </w:r>
      <w:r>
        <w:rPr>
          <w:rFonts w:hint="eastAsia" w:eastAsia="方正仿宋简体"/>
          <w:sz w:val="34"/>
          <w:szCs w:val="34"/>
          <w:lang w:val="en-US" w:eastAsia="zh-CN"/>
        </w:rPr>
        <w:t>作</w:t>
      </w:r>
      <w:r>
        <w:rPr>
          <w:rFonts w:eastAsia="方正仿宋简体"/>
          <w:sz w:val="34"/>
          <w:szCs w:val="34"/>
        </w:rPr>
        <w:t>出积极贡献。</w:t>
      </w:r>
    </w:p>
    <w:p w14:paraId="2B40C342">
      <w:pPr>
        <w:widowControl/>
        <w:spacing w:line="580" w:lineRule="atLeast"/>
        <w:ind w:firstLine="640"/>
        <w:jc w:val="left"/>
        <w:rPr>
          <w:rFonts w:eastAsia="方正楷体简体"/>
          <w:bCs/>
          <w:sz w:val="34"/>
          <w:szCs w:val="34"/>
        </w:rPr>
      </w:pPr>
      <w:r>
        <w:rPr>
          <w:rFonts w:hAnsi="方正楷体简体" w:eastAsia="方正楷体简体"/>
          <w:bCs/>
          <w:sz w:val="34"/>
          <w:szCs w:val="34"/>
        </w:rPr>
        <w:t>（一）优先保障</w:t>
      </w:r>
      <w:r>
        <w:rPr>
          <w:rFonts w:eastAsia="方正楷体简体"/>
          <w:bCs/>
          <w:sz w:val="34"/>
          <w:szCs w:val="34"/>
        </w:rPr>
        <w:t>“</w:t>
      </w:r>
      <w:r>
        <w:rPr>
          <w:rFonts w:hAnsi="方正楷体简体" w:eastAsia="方正楷体简体"/>
          <w:bCs/>
          <w:sz w:val="34"/>
          <w:szCs w:val="34"/>
        </w:rPr>
        <w:t>三保</w:t>
      </w:r>
      <w:r>
        <w:rPr>
          <w:rFonts w:eastAsia="方正楷体简体"/>
          <w:bCs/>
          <w:sz w:val="34"/>
          <w:szCs w:val="34"/>
        </w:rPr>
        <w:t>”</w:t>
      </w:r>
      <w:r>
        <w:rPr>
          <w:rFonts w:hAnsi="方正楷体简体" w:eastAsia="方正楷体简体"/>
          <w:bCs/>
          <w:sz w:val="34"/>
          <w:szCs w:val="34"/>
        </w:rPr>
        <w:t>支出</w:t>
      </w:r>
    </w:p>
    <w:p w14:paraId="1C91D7D3">
      <w:pPr>
        <w:widowControl/>
        <w:autoSpaceDE w:val="0"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进一步落实“三保”支出主体责任，</w:t>
      </w:r>
      <w:r>
        <w:rPr>
          <w:rFonts w:hint="eastAsia" w:eastAsia="方正仿宋简体"/>
          <w:sz w:val="34"/>
          <w:szCs w:val="34"/>
        </w:rPr>
        <w:t>坚持“三保”支出在财政支出中的优先顺序，在预算安排和库款拨付等方面优先保障。</w:t>
      </w:r>
      <w:r>
        <w:rPr>
          <w:rFonts w:eastAsia="方正仿宋简体"/>
          <w:sz w:val="34"/>
          <w:szCs w:val="34"/>
        </w:rPr>
        <w:t>强化预算执行约束力</w:t>
      </w:r>
      <w:r>
        <w:rPr>
          <w:rFonts w:hint="eastAsia" w:eastAsia="方正仿宋简体"/>
          <w:sz w:val="34"/>
          <w:szCs w:val="34"/>
        </w:rPr>
        <w:t>，实施机构编制、供养人员、预算资金联动管理，能够通过内部调剂解决的，一律不再新设机构、新增编制。</w:t>
      </w:r>
    </w:p>
    <w:p w14:paraId="3EE11693">
      <w:pPr>
        <w:ind w:firstLine="645"/>
        <w:rPr>
          <w:rFonts w:eastAsia="方正楷体简体"/>
          <w:color w:val="333333"/>
          <w:sz w:val="34"/>
          <w:szCs w:val="34"/>
        </w:rPr>
      </w:pPr>
      <w:r>
        <w:rPr>
          <w:rFonts w:eastAsia="方正楷体简体"/>
          <w:color w:val="333333"/>
          <w:sz w:val="34"/>
          <w:szCs w:val="34"/>
        </w:rPr>
        <w:t>（二）严格实施零基预算管理</w:t>
      </w:r>
    </w:p>
    <w:p w14:paraId="34AB476B">
      <w:pPr>
        <w:ind w:firstLine="645"/>
        <w:rPr>
          <w:rFonts w:eastAsia="方正仿宋简体"/>
          <w:color w:val="333333"/>
          <w:sz w:val="34"/>
          <w:szCs w:val="34"/>
        </w:rPr>
      </w:pPr>
      <w:r>
        <w:rPr>
          <w:rFonts w:eastAsia="方正仿宋简体"/>
          <w:color w:val="333333"/>
          <w:sz w:val="34"/>
          <w:szCs w:val="34"/>
        </w:rPr>
        <w:t>严格规范人员、运转等基本支出管理，完善基本支出定额标准和保障方式</w:t>
      </w:r>
      <w:r>
        <w:rPr>
          <w:rFonts w:hint="eastAsia" w:eastAsia="方正仿宋简体"/>
          <w:color w:val="333333"/>
          <w:sz w:val="34"/>
          <w:szCs w:val="34"/>
        </w:rPr>
        <w:t>。</w:t>
      </w:r>
      <w:r>
        <w:rPr>
          <w:rFonts w:eastAsia="方正仿宋简体"/>
          <w:color w:val="333333"/>
          <w:sz w:val="34"/>
          <w:szCs w:val="34"/>
        </w:rPr>
        <w:t>整合专项资金，</w:t>
      </w:r>
      <w:r>
        <w:rPr>
          <w:rFonts w:eastAsia="方正仿宋简体"/>
          <w:sz w:val="34"/>
          <w:szCs w:val="34"/>
        </w:rPr>
        <w:t>对项目支出预算进行严格把控。建立预算项目库，优化资金安排顺序，重点将民心、民生工程纳入预算安排。</w:t>
      </w:r>
      <w:r>
        <w:rPr>
          <w:rFonts w:eastAsia="方正仿宋简体"/>
          <w:color w:val="333333"/>
          <w:sz w:val="34"/>
          <w:szCs w:val="34"/>
        </w:rPr>
        <w:t>健全预算绩效管理机制，未按要求设定绩效目标的项目，不安排预算。盘活各类资金财政统筹使用，提高资金使用效益。</w:t>
      </w:r>
    </w:p>
    <w:p w14:paraId="34ED127F">
      <w:pPr>
        <w:ind w:firstLine="645"/>
        <w:rPr>
          <w:rFonts w:eastAsia="方正楷体简体"/>
          <w:color w:val="333333"/>
          <w:sz w:val="34"/>
          <w:szCs w:val="34"/>
        </w:rPr>
      </w:pPr>
      <w:r>
        <w:rPr>
          <w:rFonts w:hint="eastAsia" w:eastAsia="方正楷体简体"/>
          <w:color w:val="333333"/>
          <w:sz w:val="34"/>
          <w:szCs w:val="34"/>
        </w:rPr>
        <w:t>（三）全力防范债务风险</w:t>
      </w:r>
    </w:p>
    <w:p w14:paraId="149C5134">
      <w:pPr>
        <w:ind w:firstLine="645"/>
        <w:rPr>
          <w:rFonts w:eastAsia="方正仿宋简体"/>
          <w:b/>
          <w:bCs/>
          <w:sz w:val="34"/>
          <w:szCs w:val="34"/>
        </w:rPr>
      </w:pPr>
      <w:r>
        <w:rPr>
          <w:rFonts w:hint="eastAsia" w:eastAsia="方正仿宋简体"/>
          <w:color w:val="333333"/>
          <w:sz w:val="34"/>
          <w:szCs w:val="34"/>
        </w:rPr>
        <w:t>积极争取2020年政府债券额度，全力支持我区生态保护、乡村振兴、园区建设等重点项目，深入推进补短板、稳增长等各项工作，充分利用缓释政策，稳妥化解隐性债务风险。</w:t>
      </w:r>
    </w:p>
    <w:p w14:paraId="13EC2B25">
      <w:pPr>
        <w:ind w:firstLine="645"/>
        <w:rPr>
          <w:rFonts w:eastAsia="方正楷体简体"/>
          <w:color w:val="333333"/>
          <w:sz w:val="34"/>
          <w:szCs w:val="34"/>
        </w:rPr>
      </w:pPr>
      <w:r>
        <w:rPr>
          <w:rFonts w:eastAsia="方正楷体简体"/>
          <w:color w:val="333333"/>
          <w:sz w:val="34"/>
          <w:szCs w:val="34"/>
        </w:rPr>
        <w:t>（</w:t>
      </w:r>
      <w:r>
        <w:rPr>
          <w:rFonts w:hint="eastAsia" w:eastAsia="方正楷体简体"/>
          <w:color w:val="333333"/>
          <w:sz w:val="34"/>
          <w:szCs w:val="34"/>
        </w:rPr>
        <w:t>四</w:t>
      </w:r>
      <w:r>
        <w:rPr>
          <w:rFonts w:eastAsia="方正楷体简体"/>
          <w:color w:val="333333"/>
          <w:sz w:val="34"/>
          <w:szCs w:val="34"/>
        </w:rPr>
        <w:t>）</w:t>
      </w:r>
      <w:r>
        <w:rPr>
          <w:rFonts w:hint="eastAsia" w:eastAsia="方正楷体简体"/>
          <w:color w:val="333333"/>
          <w:sz w:val="34"/>
          <w:szCs w:val="34"/>
        </w:rPr>
        <w:t>深化</w:t>
      </w:r>
      <w:r>
        <w:rPr>
          <w:rFonts w:eastAsia="方正楷体简体"/>
          <w:color w:val="333333"/>
          <w:sz w:val="34"/>
          <w:szCs w:val="34"/>
        </w:rPr>
        <w:t>金融</w:t>
      </w:r>
      <w:r>
        <w:rPr>
          <w:rFonts w:hint="eastAsia" w:eastAsia="方正楷体简体"/>
          <w:color w:val="333333"/>
          <w:sz w:val="34"/>
          <w:szCs w:val="34"/>
        </w:rPr>
        <w:t>改革创新</w:t>
      </w:r>
    </w:p>
    <w:p w14:paraId="20937D12">
      <w:pPr>
        <w:ind w:firstLine="645"/>
        <w:rPr>
          <w:rFonts w:eastAsia="方正仿宋简体"/>
          <w:color w:val="333333"/>
          <w:sz w:val="34"/>
          <w:szCs w:val="34"/>
        </w:rPr>
      </w:pPr>
      <w:r>
        <w:rPr>
          <w:rFonts w:hint="eastAsia" w:eastAsia="方正仿宋简体"/>
          <w:color w:val="333333"/>
          <w:sz w:val="34"/>
          <w:szCs w:val="34"/>
        </w:rPr>
        <w:t>回归本源，强实抑虚，增强金融服务实体经济能力。充分运用“宁信通”信用合作贷款、“宁河区水稻种植风险补偿基金”等融资方式，扩大对区内“中小微企业”、“三农企业”的信贷投放额度。充分发挥金融服务作用，拓宽直接融资渠道，用金融“活水”助力重点项目建设。防控金融风险，鼓励区内金融机构发展普惠金融，加强7+4类机构金融监管，防范和处置非法集资，确保我区金融环境安全稳定。</w:t>
      </w:r>
    </w:p>
    <w:p w14:paraId="4BA095E0">
      <w:pPr>
        <w:ind w:firstLine="645"/>
        <w:rPr>
          <w:rFonts w:eastAsia="方正楷体简体"/>
          <w:color w:val="333333"/>
          <w:sz w:val="34"/>
          <w:szCs w:val="34"/>
        </w:rPr>
      </w:pPr>
      <w:r>
        <w:rPr>
          <w:rFonts w:hint="eastAsia" w:eastAsia="方正楷体简体"/>
          <w:color w:val="333333"/>
          <w:sz w:val="34"/>
          <w:szCs w:val="34"/>
        </w:rPr>
        <w:t>（五）加快推进乡村振兴战略实施</w:t>
      </w:r>
    </w:p>
    <w:p w14:paraId="7F710A7B">
      <w:pPr>
        <w:ind w:firstLine="680" w:firstLineChars="200"/>
        <w:rPr>
          <w:rFonts w:eastAsia="方正仿宋简体"/>
          <w:color w:val="333333"/>
          <w:sz w:val="34"/>
          <w:szCs w:val="34"/>
        </w:rPr>
      </w:pPr>
      <w:r>
        <w:rPr>
          <w:rFonts w:hint="eastAsia" w:eastAsia="方正仿宋简体"/>
          <w:color w:val="333333"/>
          <w:sz w:val="34"/>
          <w:szCs w:val="34"/>
        </w:rPr>
        <w:t>坚持农业农村优先发展的总方针，紧紧围绕产业兴旺、生态宜居、乡风文明、治理有效、生活富裕的总要求，以推进农业供给侧结构性改革为主线，以增加农民收入为目标，以改革创新为动力，着力构建完善财政支持实施乡村振兴战略的体制机制。把农业农村作为财政支出的优先保障领域，确保投入力度不断增强、总量持续增加。</w:t>
      </w:r>
    </w:p>
    <w:p w14:paraId="5FA91606">
      <w:pPr>
        <w:widowControl/>
        <w:autoSpaceDE w:val="0"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各位代表，我们一定要在区委的坚强领导下，统一思想、坚定信心、抢抓机遇，牢固树立新发展理念，</w:t>
      </w:r>
      <w:r>
        <w:rPr>
          <w:rFonts w:hint="eastAsia" w:eastAsia="方正仿宋简体"/>
          <w:sz w:val="34"/>
          <w:szCs w:val="34"/>
        </w:rPr>
        <w:t>在落实“三保”“六稳”要求，推动高质量发展上更好发挥财政部门的积极作用，</w:t>
      </w:r>
      <w:r>
        <w:rPr>
          <w:rFonts w:eastAsia="方正仿宋简体"/>
          <w:sz w:val="34"/>
          <w:szCs w:val="34"/>
        </w:rPr>
        <w:t>为全面实现宁河经济社会发展</w:t>
      </w:r>
      <w:r>
        <w:rPr>
          <w:rFonts w:hint="eastAsia" w:eastAsia="方正仿宋简体"/>
          <w:sz w:val="34"/>
          <w:szCs w:val="34"/>
          <w:lang w:val="en-US" w:eastAsia="zh-CN"/>
        </w:rPr>
        <w:t>作</w:t>
      </w:r>
      <w:r>
        <w:rPr>
          <w:rFonts w:eastAsia="方正仿宋简体"/>
          <w:sz w:val="34"/>
          <w:szCs w:val="34"/>
        </w:rPr>
        <w:t>出不懈努</w:t>
      </w:r>
      <w:bookmarkStart w:id="0" w:name="_GoBack"/>
      <w:bookmarkEnd w:id="0"/>
      <w:r>
        <w:rPr>
          <w:rFonts w:eastAsia="方正仿宋简体"/>
          <w:sz w:val="34"/>
          <w:szCs w:val="34"/>
        </w:rPr>
        <w:t>力。</w:t>
      </w:r>
    </w:p>
    <w:p w14:paraId="1B579BAC">
      <w:pPr>
        <w:widowControl/>
        <w:autoSpaceDE w:val="0"/>
        <w:spacing w:line="580" w:lineRule="atLeast"/>
        <w:ind w:firstLine="64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谢谢各位代表！</w:t>
      </w:r>
    </w:p>
    <w:p w14:paraId="02F2F46C">
      <w:pPr>
        <w:spacing w:line="580" w:lineRule="atLeast"/>
        <w:rPr>
          <w:rFonts w:eastAsia="方正仿宋简体"/>
          <w:sz w:val="34"/>
          <w:szCs w:val="3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1588" w:left="1701" w:header="851" w:footer="175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8EB57">
    <w:pPr>
      <w:spacing w:line="300" w:lineRule="exact"/>
      <w:ind w:firstLine="658"/>
      <w:rPr>
        <w:rStyle w:val="6"/>
        <w:rFonts w:ascii="黑体" w:hAnsi="黑体" w:eastAsia="黑体"/>
        <w:b/>
        <w:bCs/>
        <w:color w:val="000000"/>
        <w:sz w:val="32"/>
      </w:rPr>
    </w:pPr>
    <w:r>
      <w:rPr>
        <w:sz w:val="32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7D513462">
                <w:pPr>
                  <w:pStyle w:val="2"/>
                  <w:rPr>
                    <w:rStyle w:val="6"/>
                    <w:sz w:val="24"/>
                    <w:szCs w:val="24"/>
                  </w:rPr>
                </w:pPr>
                <w:r>
                  <w:rPr>
                    <w:rStyle w:val="6"/>
                    <w:rFonts w:hint="eastAsia"/>
                    <w:sz w:val="24"/>
                    <w:szCs w:val="24"/>
                  </w:rPr>
                  <w:t xml:space="preserve">— </w:t>
                </w: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rStyle w:val="6"/>
                    <w:sz w:val="24"/>
                    <w:szCs w:val="24"/>
                  </w:rPr>
                  <w:instrText xml:space="preserve">PAGE 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rStyle w:val="6"/>
                    <w:sz w:val="24"/>
                    <w:szCs w:val="24"/>
                  </w:rPr>
                  <w:t>12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rStyle w:val="6"/>
                    <w:rFonts w:hint="eastAsia"/>
                    <w:sz w:val="24"/>
                    <w:szCs w:val="24"/>
                  </w:rPr>
                  <w:t xml:space="preserve"> —</w:t>
                </w:r>
              </w:p>
            </w:txbxContent>
          </v:textbox>
        </v:shape>
      </w:pict>
    </w:r>
  </w:p>
  <w:p w14:paraId="31E319F0">
    <w:pPr>
      <w:pStyle w:val="2"/>
      <w:framePr w:wrap="around" w:vAnchor="margin" w:hAnchor="text" w:y="-53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375D4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1E3BDBBD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8538C">
    <w:pPr>
      <w:spacing w:line="300" w:lineRule="exact"/>
      <w:ind w:firstLine="658"/>
      <w:rPr>
        <w:rStyle w:val="6"/>
        <w:rFonts w:ascii="黑体" w:hAnsi="黑体" w:eastAsia="黑体"/>
        <w:b/>
        <w:bCs/>
        <w:color w:val="000000"/>
        <w:sz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yOGZiMDY4YmRlMjg3NzE4MDcwMzk1NTdhZDMxMWIifQ=="/>
  </w:docVars>
  <w:rsids>
    <w:rsidRoot w:val="003343A9"/>
    <w:rsid w:val="00041E26"/>
    <w:rsid w:val="000533DD"/>
    <w:rsid w:val="000B5BB7"/>
    <w:rsid w:val="000F52CF"/>
    <w:rsid w:val="00103E2B"/>
    <w:rsid w:val="001240D4"/>
    <w:rsid w:val="00167866"/>
    <w:rsid w:val="00175C3E"/>
    <w:rsid w:val="001962C8"/>
    <w:rsid w:val="001D7D77"/>
    <w:rsid w:val="001E56C9"/>
    <w:rsid w:val="00204DB9"/>
    <w:rsid w:val="002136B1"/>
    <w:rsid w:val="00231EB7"/>
    <w:rsid w:val="002715A2"/>
    <w:rsid w:val="00280C23"/>
    <w:rsid w:val="00297C7E"/>
    <w:rsid w:val="002B0C2B"/>
    <w:rsid w:val="002B771C"/>
    <w:rsid w:val="002C0016"/>
    <w:rsid w:val="002E5639"/>
    <w:rsid w:val="00305F58"/>
    <w:rsid w:val="003343A9"/>
    <w:rsid w:val="00343E72"/>
    <w:rsid w:val="003444DB"/>
    <w:rsid w:val="00380545"/>
    <w:rsid w:val="00380D7B"/>
    <w:rsid w:val="003868F8"/>
    <w:rsid w:val="003A3F55"/>
    <w:rsid w:val="003B2A4E"/>
    <w:rsid w:val="003B7DF1"/>
    <w:rsid w:val="004027C7"/>
    <w:rsid w:val="00417338"/>
    <w:rsid w:val="004B2FEE"/>
    <w:rsid w:val="00555AD2"/>
    <w:rsid w:val="0057740B"/>
    <w:rsid w:val="005E3B05"/>
    <w:rsid w:val="006224B0"/>
    <w:rsid w:val="006379CF"/>
    <w:rsid w:val="0065786C"/>
    <w:rsid w:val="006A2680"/>
    <w:rsid w:val="006C5A29"/>
    <w:rsid w:val="006D4F61"/>
    <w:rsid w:val="0076363F"/>
    <w:rsid w:val="00780D40"/>
    <w:rsid w:val="00793B74"/>
    <w:rsid w:val="00796642"/>
    <w:rsid w:val="007C0226"/>
    <w:rsid w:val="007F13D0"/>
    <w:rsid w:val="00823BB9"/>
    <w:rsid w:val="00836419"/>
    <w:rsid w:val="008437BB"/>
    <w:rsid w:val="008857AC"/>
    <w:rsid w:val="00896E70"/>
    <w:rsid w:val="00897624"/>
    <w:rsid w:val="008A1B8B"/>
    <w:rsid w:val="008C1BFC"/>
    <w:rsid w:val="008D304B"/>
    <w:rsid w:val="008E556F"/>
    <w:rsid w:val="008F27AE"/>
    <w:rsid w:val="008F695B"/>
    <w:rsid w:val="00902E06"/>
    <w:rsid w:val="00920F16"/>
    <w:rsid w:val="00960687"/>
    <w:rsid w:val="00990102"/>
    <w:rsid w:val="009A7788"/>
    <w:rsid w:val="009C46F5"/>
    <w:rsid w:val="009D3545"/>
    <w:rsid w:val="00A06A61"/>
    <w:rsid w:val="00A07DB0"/>
    <w:rsid w:val="00A20233"/>
    <w:rsid w:val="00A87A98"/>
    <w:rsid w:val="00AC32A8"/>
    <w:rsid w:val="00AD6C6D"/>
    <w:rsid w:val="00B11E60"/>
    <w:rsid w:val="00B31B77"/>
    <w:rsid w:val="00B333B2"/>
    <w:rsid w:val="00B36A07"/>
    <w:rsid w:val="00B45E97"/>
    <w:rsid w:val="00B61C88"/>
    <w:rsid w:val="00B74326"/>
    <w:rsid w:val="00BA2151"/>
    <w:rsid w:val="00BA2CEE"/>
    <w:rsid w:val="00BC4610"/>
    <w:rsid w:val="00BF688F"/>
    <w:rsid w:val="00C01ABF"/>
    <w:rsid w:val="00C2553C"/>
    <w:rsid w:val="00CB6C7C"/>
    <w:rsid w:val="00CD7706"/>
    <w:rsid w:val="00D23AA8"/>
    <w:rsid w:val="00D92C67"/>
    <w:rsid w:val="00D95BDF"/>
    <w:rsid w:val="00DB475D"/>
    <w:rsid w:val="00DB489E"/>
    <w:rsid w:val="00DC7BA2"/>
    <w:rsid w:val="00E33E0F"/>
    <w:rsid w:val="00E50231"/>
    <w:rsid w:val="00EA266D"/>
    <w:rsid w:val="00ED661E"/>
    <w:rsid w:val="00F26B48"/>
    <w:rsid w:val="00F46026"/>
    <w:rsid w:val="00F473CA"/>
    <w:rsid w:val="00F63108"/>
    <w:rsid w:val="00F73AE6"/>
    <w:rsid w:val="00F908CC"/>
    <w:rsid w:val="00FF6CAD"/>
    <w:rsid w:val="01DB6127"/>
    <w:rsid w:val="02263C8A"/>
    <w:rsid w:val="03E2765C"/>
    <w:rsid w:val="03FF1A00"/>
    <w:rsid w:val="05567BCF"/>
    <w:rsid w:val="058A7AA7"/>
    <w:rsid w:val="05D84FEC"/>
    <w:rsid w:val="099B31BD"/>
    <w:rsid w:val="0E241F41"/>
    <w:rsid w:val="0FFD05AD"/>
    <w:rsid w:val="103F59F6"/>
    <w:rsid w:val="11624912"/>
    <w:rsid w:val="11AB3E0C"/>
    <w:rsid w:val="11D877EE"/>
    <w:rsid w:val="129165BE"/>
    <w:rsid w:val="12C35B33"/>
    <w:rsid w:val="12D8521F"/>
    <w:rsid w:val="13095F47"/>
    <w:rsid w:val="147C6803"/>
    <w:rsid w:val="15BD5C62"/>
    <w:rsid w:val="17D84AD9"/>
    <w:rsid w:val="191202D4"/>
    <w:rsid w:val="197C1176"/>
    <w:rsid w:val="1D1D715C"/>
    <w:rsid w:val="1F520D1A"/>
    <w:rsid w:val="1F857AC5"/>
    <w:rsid w:val="1FCC223A"/>
    <w:rsid w:val="203C140D"/>
    <w:rsid w:val="216750CB"/>
    <w:rsid w:val="22681141"/>
    <w:rsid w:val="22E41674"/>
    <w:rsid w:val="276A3932"/>
    <w:rsid w:val="28FC3BD8"/>
    <w:rsid w:val="2A604731"/>
    <w:rsid w:val="2AA700CD"/>
    <w:rsid w:val="2C737C1C"/>
    <w:rsid w:val="2D4A1EBF"/>
    <w:rsid w:val="2E04681C"/>
    <w:rsid w:val="304C2C9C"/>
    <w:rsid w:val="30E00160"/>
    <w:rsid w:val="31850318"/>
    <w:rsid w:val="33983EF9"/>
    <w:rsid w:val="346556F9"/>
    <w:rsid w:val="35563170"/>
    <w:rsid w:val="38E66069"/>
    <w:rsid w:val="39161CF6"/>
    <w:rsid w:val="3BD67885"/>
    <w:rsid w:val="3CEF1407"/>
    <w:rsid w:val="463D67A1"/>
    <w:rsid w:val="469D5142"/>
    <w:rsid w:val="47551F70"/>
    <w:rsid w:val="496A1C80"/>
    <w:rsid w:val="50A24963"/>
    <w:rsid w:val="52AD44F1"/>
    <w:rsid w:val="54774E26"/>
    <w:rsid w:val="55B214F4"/>
    <w:rsid w:val="56C82AED"/>
    <w:rsid w:val="57524C4F"/>
    <w:rsid w:val="5BEA126A"/>
    <w:rsid w:val="5CD57D3E"/>
    <w:rsid w:val="5D4442FB"/>
    <w:rsid w:val="5DE55498"/>
    <w:rsid w:val="5FAB2FFD"/>
    <w:rsid w:val="5FCC451F"/>
    <w:rsid w:val="5FF13431"/>
    <w:rsid w:val="60D535ED"/>
    <w:rsid w:val="62926381"/>
    <w:rsid w:val="642341C0"/>
    <w:rsid w:val="65672659"/>
    <w:rsid w:val="65827499"/>
    <w:rsid w:val="66670A10"/>
    <w:rsid w:val="677E6DAE"/>
    <w:rsid w:val="67F95923"/>
    <w:rsid w:val="68195018"/>
    <w:rsid w:val="6CB63C68"/>
    <w:rsid w:val="70A71168"/>
    <w:rsid w:val="72742C70"/>
    <w:rsid w:val="72E95B2B"/>
    <w:rsid w:val="745974EE"/>
    <w:rsid w:val="749D1AC4"/>
    <w:rsid w:val="76F64196"/>
    <w:rsid w:val="77853BF6"/>
    <w:rsid w:val="79401E7A"/>
    <w:rsid w:val="7C9039F1"/>
    <w:rsid w:val="7ED94BA0"/>
    <w:rsid w:val="7F18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Emphasis"/>
    <w:basedOn w:val="5"/>
    <w:qFormat/>
    <w:uiPriority w:val="0"/>
    <w:rPr>
      <w:i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4519</Words>
  <Characters>4852</Characters>
  <Lines>34</Lines>
  <Paragraphs>9</Paragraphs>
  <TotalTime>0</TotalTime>
  <ScaleCrop>false</ScaleCrop>
  <LinksUpToDate>false</LinksUpToDate>
  <CharactersWithSpaces>4861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2019-01-07T01:01:00Z</dcterms:created>
  <dc:creator>admin</dc:creator>
  <cp:lastModifiedBy>Administrator</cp:lastModifiedBy>
  <cp:lastPrinted>2019-12-31T13:04:00Z</cp:lastPrinted>
  <dcterms:modified xsi:type="dcterms:W3CDTF">2025-03-03T05:05:18Z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B9B831734D37423997061061FE58E001_12</vt:lpwstr>
  </property>
  <property fmtid="{D5CDD505-2E9C-101B-9397-08002B2CF9AE}" pid="4" name="KSOTemplateDocerSaveRecord">
    <vt:lpwstr>eyJoZGlkIjoiMWRlYWNjNWRhZDQ2NDA0ZDU3NTM5ZGRlMDNhY2FlNWQifQ==</vt:lpwstr>
  </property>
</Properties>
</file>