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509EB">
      <w:pPr>
        <w:rPr>
          <w:rFonts w:hint="default" w:ascii="Nimbus Roman No9 L" w:hAnsi="Nimbus Roman No9 L" w:eastAsia="宋体" w:cs="Nimbus Roman No9 L"/>
          <w:b/>
          <w:bCs/>
          <w:lang w:eastAsia="zh-CN"/>
        </w:rPr>
      </w:pPr>
    </w:p>
    <w:p w14:paraId="385976A3">
      <w:pPr>
        <w:spacing w:line="64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28"/>
          <w:szCs w:val="28"/>
        </w:rPr>
        <w:t xml:space="preserve"> 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关于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天津市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宁河区202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年上半年财政</w:t>
      </w:r>
    </w:p>
    <w:p w14:paraId="349C715B">
      <w:pPr>
        <w:spacing w:line="64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预算执行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情况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的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报告</w:t>
      </w:r>
    </w:p>
    <w:p w14:paraId="4214D757">
      <w:pPr>
        <w:spacing w:line="560" w:lineRule="exact"/>
        <w:jc w:val="center"/>
        <w:rPr>
          <w:rFonts w:hint="default" w:ascii="Times New Roman" w:hAnsi="Times New Roman" w:eastAsia="方正仿宋简体" w:cs="Times New Roman"/>
          <w:b/>
          <w:sz w:val="44"/>
          <w:szCs w:val="44"/>
        </w:rPr>
      </w:pPr>
    </w:p>
    <w:p w14:paraId="417205BB">
      <w:pPr>
        <w:spacing w:line="588" w:lineRule="exact"/>
        <w:jc w:val="center"/>
        <w:rPr>
          <w:rFonts w:ascii="Times New Roman" w:hAnsi="Times New Roman" w:eastAsia="方正楷体简体"/>
          <w:sz w:val="34"/>
          <w:szCs w:val="34"/>
        </w:rPr>
      </w:pPr>
      <w:r>
        <w:rPr>
          <w:rFonts w:ascii="Times New Roman" w:hAnsi="Times New Roman" w:eastAsia="方正楷体简体"/>
          <w:sz w:val="34"/>
          <w:szCs w:val="34"/>
        </w:rPr>
        <w:t>202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>5</w:t>
      </w:r>
      <w:r>
        <w:rPr>
          <w:rFonts w:ascii="Times New Roman" w:hAnsi="Times New Roman" w:eastAsia="方正楷体简体"/>
          <w:sz w:val="34"/>
          <w:szCs w:val="34"/>
        </w:rPr>
        <w:t>年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>7</w:t>
      </w:r>
      <w:r>
        <w:rPr>
          <w:rFonts w:ascii="Times New Roman" w:hAnsi="Times New Roman" w:eastAsia="方正楷体简体"/>
          <w:sz w:val="34"/>
          <w:szCs w:val="34"/>
        </w:rPr>
        <w:t>月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>10</w:t>
      </w:r>
      <w:bookmarkStart w:id="0" w:name="_GoBack"/>
      <w:bookmarkEnd w:id="0"/>
      <w:r>
        <w:rPr>
          <w:rFonts w:ascii="Times New Roman" w:hAnsi="Times New Roman" w:eastAsia="方正楷体简体"/>
          <w:sz w:val="34"/>
          <w:szCs w:val="34"/>
        </w:rPr>
        <w:t>日在天津市宁河区第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>三</w:t>
      </w:r>
      <w:r>
        <w:rPr>
          <w:rFonts w:ascii="Times New Roman" w:hAnsi="Times New Roman" w:eastAsia="方正楷体简体"/>
          <w:sz w:val="34"/>
          <w:szCs w:val="34"/>
        </w:rPr>
        <w:t>届人民代表大会</w:t>
      </w:r>
    </w:p>
    <w:p w14:paraId="3304D06E">
      <w:pPr>
        <w:spacing w:line="588" w:lineRule="exact"/>
        <w:jc w:val="center"/>
        <w:rPr>
          <w:rFonts w:ascii="Times New Roman" w:hAnsi="Times New Roman" w:eastAsia="方正楷体简体"/>
          <w:sz w:val="34"/>
          <w:szCs w:val="34"/>
        </w:rPr>
      </w:pPr>
      <w:r>
        <w:rPr>
          <w:rFonts w:ascii="Times New Roman" w:hAnsi="Times New Roman" w:eastAsia="方正楷体简体"/>
          <w:sz w:val="34"/>
          <w:szCs w:val="34"/>
        </w:rPr>
        <w:t>常务委员会第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>二十七</w:t>
      </w:r>
      <w:r>
        <w:rPr>
          <w:rFonts w:ascii="Times New Roman" w:hAnsi="Times New Roman" w:eastAsia="方正楷体简体"/>
          <w:sz w:val="34"/>
          <w:szCs w:val="34"/>
        </w:rPr>
        <w:t>次会议上</w:t>
      </w:r>
    </w:p>
    <w:p w14:paraId="335518BC">
      <w:pPr>
        <w:spacing w:line="588" w:lineRule="exact"/>
        <w:jc w:val="center"/>
        <w:rPr>
          <w:rFonts w:ascii="Times New Roman" w:hAnsi="Times New Roman" w:eastAsia="方正楷体简体"/>
          <w:sz w:val="34"/>
          <w:szCs w:val="34"/>
        </w:rPr>
      </w:pPr>
      <w:r>
        <w:rPr>
          <w:rFonts w:ascii="Times New Roman" w:hAnsi="Times New Roman" w:eastAsia="方正楷体简体"/>
          <w:sz w:val="34"/>
          <w:szCs w:val="34"/>
        </w:rPr>
        <w:t>区财政局局长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 xml:space="preserve">  </w:t>
      </w:r>
      <w:r>
        <w:rPr>
          <w:rFonts w:ascii="Times New Roman" w:hAnsi="Times New Roman" w:eastAsia="方正楷体简体"/>
          <w:sz w:val="34"/>
          <w:szCs w:val="34"/>
        </w:rPr>
        <w:t>李</w:t>
      </w:r>
      <w:r>
        <w:rPr>
          <w:rFonts w:hint="eastAsia" w:ascii="Times New Roman" w:hAnsi="Times New Roman" w:eastAsia="方正楷体简体"/>
          <w:sz w:val="34"/>
          <w:szCs w:val="34"/>
          <w:lang w:val="en-US" w:eastAsia="zh-CN"/>
        </w:rPr>
        <w:t xml:space="preserve"> </w:t>
      </w:r>
      <w:r>
        <w:rPr>
          <w:rFonts w:ascii="Times New Roman" w:hAnsi="Times New Roman" w:eastAsia="方正楷体简体"/>
          <w:sz w:val="34"/>
          <w:szCs w:val="34"/>
        </w:rPr>
        <w:t>巍</w:t>
      </w:r>
    </w:p>
    <w:p w14:paraId="35301DA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8" w:lineRule="exact"/>
        <w:textAlignment w:val="auto"/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</w:rPr>
      </w:pPr>
    </w:p>
    <w:p w14:paraId="453D91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jc w:val="left"/>
        <w:textAlignment w:val="auto"/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主任、各位副主任、各位委员：</w:t>
      </w:r>
    </w:p>
    <w:p w14:paraId="62919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jc w:val="left"/>
        <w:textAlignment w:val="auto"/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 xml:space="preserve">    </w:t>
      </w:r>
      <w:r>
        <w:rPr>
          <w:rFonts w:hint="eastAsia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我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受区人民政府委托，向区人大常委会报告我区202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年上半年财政预算执行情况，请予审议。</w:t>
      </w:r>
    </w:p>
    <w:p w14:paraId="13FCA7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</w:rPr>
        <w:t>202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</w:rPr>
        <w:t>年区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政府及相关部门以习近平新时代中国特色社会主义思想为指导，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</w:rPr>
        <w:t>认真贯彻落实党的二十大精神，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在区委</w:t>
      </w:r>
      <w:r>
        <w:rPr>
          <w:rFonts w:hint="eastAsia" w:ascii="Times New Roman" w:hAnsi="Times New Roman" w:eastAsia="方正仿宋简体" w:cs="Times New Roman"/>
          <w:sz w:val="34"/>
          <w:szCs w:val="34"/>
          <w:highlight w:val="none"/>
          <w:lang w:eastAsia="zh-CN"/>
        </w:rPr>
        <w:t>的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正确领导下，在区人大监督</w:t>
      </w:r>
      <w:r>
        <w:rPr>
          <w:rFonts w:hint="eastAsia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支持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eastAsia="zh-CN"/>
        </w:rPr>
        <w:t>下，坚持稳中求进、以进促稳、先立后破，加大资金统筹，强化重大任务财力保障，坚持过紧日子，全力兜牢“三保”底线，全力保民生促发展，各项工作成效明显。</w:t>
      </w:r>
    </w:p>
    <w:p w14:paraId="04281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textAlignment w:val="auto"/>
        <w:rPr>
          <w:rFonts w:hint="default" w:ascii="Times New Roman" w:hAnsi="Times New Roman" w:eastAsia="方正黑体简体" w:cs="Times New Roman"/>
          <w:bCs/>
          <w:sz w:val="34"/>
          <w:szCs w:val="34"/>
        </w:rPr>
      </w:pPr>
      <w:r>
        <w:rPr>
          <w:rFonts w:hint="default" w:ascii="Times New Roman" w:hAnsi="Times New Roman" w:eastAsia="方正黑体简体" w:cs="Times New Roman"/>
          <w:bCs/>
          <w:sz w:val="34"/>
          <w:szCs w:val="34"/>
          <w:lang w:val="en"/>
        </w:rPr>
        <w:t xml:space="preserve">    </w:t>
      </w:r>
      <w:r>
        <w:rPr>
          <w:rFonts w:hint="default" w:ascii="Times New Roman" w:hAnsi="Times New Roman" w:eastAsia="方正黑体简体" w:cs="Times New Roman"/>
          <w:bCs/>
          <w:sz w:val="34"/>
          <w:szCs w:val="34"/>
        </w:rPr>
        <w:t>一、财政预算执行情况</w:t>
      </w:r>
    </w:p>
    <w:p w14:paraId="703C16E4">
      <w:pPr>
        <w:pStyle w:val="2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30" w:lineRule="exact"/>
        <w:ind w:left="0" w:leftChars="0" w:firstLine="0" w:firstLineChars="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</w:pP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  <w:lang w:val="en"/>
        </w:rPr>
        <w:t xml:space="preserve">   </w:t>
      </w: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  <w:t>（一）一般公共预算执行情况</w:t>
      </w:r>
    </w:p>
    <w:p w14:paraId="6DF6B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上半年，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一般公共预算收入完成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16.1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亿元，完成预算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64.39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%，同比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降低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31.03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%。其中，税收收入完成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6.31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亿元，完成预算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52.59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%，同比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增长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9.84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%，占一般公共预算收入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 xml:space="preserve">39.21 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%；非税收入完成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9.79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完成预算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75.28%，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同比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降低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44.37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%。</w:t>
      </w:r>
    </w:p>
    <w:p w14:paraId="08474D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上半年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，一般公共预算支出完成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30.08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完成预算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45.41%，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同比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降低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28.05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%，</w:t>
      </w:r>
    </w:p>
    <w:p w14:paraId="493CD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</w:pP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  <w:t>（二）政府性基金预算执行情况</w:t>
      </w:r>
    </w:p>
    <w:p w14:paraId="61E49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上半年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，政府性基金预算收入完成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2.56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亿元，完成预算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15.81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%，同比</w:t>
      </w:r>
      <w:r>
        <w:rPr>
          <w:rFonts w:hint="default" w:ascii="Times New Roman" w:hAnsi="Times New Roman" w:eastAsia="方正仿宋简体" w:cs="Times New Roman"/>
          <w:color w:val="auto"/>
          <w:sz w:val="34"/>
          <w:szCs w:val="34"/>
          <w:highlight w:val="none"/>
          <w:lang w:eastAsia="zh-CN"/>
        </w:rPr>
        <w:t>降低</w:t>
      </w:r>
      <w:r>
        <w:rPr>
          <w:rFonts w:hint="default" w:ascii="Times New Roman" w:hAnsi="Times New Roman" w:eastAsia="方正仿宋简体" w:cs="Times New Roman"/>
          <w:color w:val="auto"/>
          <w:sz w:val="34"/>
          <w:szCs w:val="34"/>
          <w:highlight w:val="none"/>
          <w:lang w:val="en-US" w:eastAsia="zh-CN"/>
        </w:rPr>
        <w:t>39.35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 xml:space="preserve"> 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%。政府性基金预算支出完成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9.6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亿元，完成预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算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19.5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%，同比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降低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8.71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%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。</w:t>
      </w:r>
    </w:p>
    <w:p w14:paraId="34F98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</w:pP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  <w:t>（三）“三保”保障情况</w:t>
      </w:r>
    </w:p>
    <w:p w14:paraId="7AFDA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上半年</w:t>
      </w:r>
      <w:r>
        <w:rPr>
          <w:rFonts w:hint="eastAsia" w:ascii="Times New Roman" w:hAnsi="Times New Roman" w:eastAsia="方正仿宋简体" w:cs="Times New Roman"/>
          <w:sz w:val="34"/>
          <w:szCs w:val="34"/>
          <w:lang w:val="en-US" w:eastAsia="zh-CN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“三保”支出完成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20.72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亿元，其中保工资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13.12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亿元，保运转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0.43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亿元，保基本民生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7.17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亿元。在财力紧张和资金困难双重压力下，基本保障了“三保”支出需求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，切实兜牢了“三保”底线。</w:t>
      </w:r>
    </w:p>
    <w:p w14:paraId="3DE0F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</w:pP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  <w:t>（四）财政暂付款清理情况</w:t>
      </w:r>
    </w:p>
    <w:p w14:paraId="02398C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</w:rPr>
        <w:t>为严格落实国务院和天津市委、市政府清理暂付款工作相关要求，确保按时合规完成暂付款清理任务，我区坚持分类突破，充分利用一般债券、土地出让、预算安排归垫等方式，力争三年内将财政暂付款余额降到财政支出的10%以下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。截止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6月底，共清理暂付款1.24亿元。</w:t>
      </w:r>
    </w:p>
    <w:p w14:paraId="73EAD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黑体简体" w:cs="Times New Roman"/>
          <w:bCs/>
          <w:sz w:val="34"/>
          <w:szCs w:val="34"/>
        </w:rPr>
      </w:pPr>
      <w:r>
        <w:rPr>
          <w:rFonts w:hint="default" w:ascii="Times New Roman" w:hAnsi="Times New Roman" w:eastAsia="方正黑体简体" w:cs="Times New Roman"/>
          <w:bCs/>
          <w:sz w:val="34"/>
          <w:szCs w:val="34"/>
          <w:lang w:eastAsia="zh-CN"/>
        </w:rPr>
        <w:t>二</w:t>
      </w:r>
      <w:r>
        <w:rPr>
          <w:rFonts w:hint="default" w:ascii="Times New Roman" w:hAnsi="Times New Roman" w:eastAsia="方正黑体简体" w:cs="Times New Roman"/>
          <w:bCs/>
          <w:sz w:val="34"/>
          <w:szCs w:val="34"/>
        </w:rPr>
        <w:t>、存在的问题</w:t>
      </w:r>
    </w:p>
    <w:p w14:paraId="02B69D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</w:pP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  <w:t>（一）财政预算平衡困难</w:t>
      </w:r>
    </w:p>
    <w:p w14:paraId="072FFB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</w:rPr>
      </w:pPr>
      <w:r>
        <w:rPr>
          <w:rFonts w:hint="default" w:ascii="Times New Roman" w:hAnsi="Times New Roman" w:eastAsia="方正仿宋简体" w:cs="Times New Roman"/>
          <w:sz w:val="34"/>
          <w:szCs w:val="34"/>
        </w:rPr>
        <w:t>今年以来，通过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加大资源资产盘活力度，积极开展林下经济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和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水面经济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，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非税收入超额完成预算。从上半年完成的情况看，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今年一般公共预算收入能够完成年初预算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但是全年财力预算中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包含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从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滨海新区两个功能区土地补偿和税收分成调入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收入，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存在很大不确定性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，如果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不能完成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将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直接影响全年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收入完成和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收支平衡。</w:t>
      </w:r>
    </w:p>
    <w:p w14:paraId="4B060C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  <w:lang w:eastAsia="zh-CN"/>
        </w:rPr>
      </w:pPr>
      <w:r>
        <w:rPr>
          <w:rFonts w:hint="eastAsia" w:ascii="Times New Roman" w:hAnsi="Times New Roman" w:eastAsia="方正楷体简体" w:cs="Times New Roman"/>
          <w:b w:val="0"/>
          <w:bCs w:val="0"/>
          <w:kern w:val="2"/>
          <w:sz w:val="34"/>
          <w:szCs w:val="34"/>
          <w:lang w:val="en-US" w:eastAsia="zh-CN" w:bidi="ar-SA"/>
        </w:rPr>
        <w:t>（二）</w:t>
      </w: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  <w:lang w:eastAsia="zh-CN"/>
        </w:rPr>
        <w:t>财政收支矛盾突出</w:t>
      </w:r>
    </w:p>
    <w:p w14:paraId="0AD347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</w:rPr>
        <w:t>202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年财政库款主要来源是本级预算收入和市级补助资金调度。全年市财政预计应补助我区的资金在扣除上解支出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地债利息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等必要支出后，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已无库款调度额度</w:t>
      </w:r>
      <w:r>
        <w:rPr>
          <w:rFonts w:hint="eastAsia" w:ascii="Times New Roman" w:hAnsi="Times New Roman" w:eastAsia="方正仿宋简体" w:cs="Times New Roman"/>
          <w:sz w:val="34"/>
          <w:szCs w:val="34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仅凭我区自身收入难以满足各类支出的需求。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收支矛盾突出，库款持续紧张。况且市财政局对我区财力实行动态监控管理，可能影响项目的支出进度。区级财政运行过度依赖一次性非税收入和上级补助收入，财政可持续性面临严峻挑战。</w:t>
      </w:r>
    </w:p>
    <w:p w14:paraId="331136F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6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  <w:lang w:eastAsia="zh-CN"/>
        </w:rPr>
      </w:pP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  <w:lang w:eastAsia="zh-CN"/>
        </w:rPr>
        <w:t>（三）清理</w:t>
      </w: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</w:rPr>
        <w:t>暂付款</w:t>
      </w:r>
      <w:r>
        <w:rPr>
          <w:rFonts w:hint="default" w:ascii="Times New Roman" w:hAnsi="Times New Roman" w:eastAsia="方正楷体简体" w:cs="Times New Roman"/>
          <w:b w:val="0"/>
          <w:bCs w:val="0"/>
          <w:sz w:val="34"/>
          <w:szCs w:val="34"/>
          <w:lang w:eastAsia="zh-CN"/>
        </w:rPr>
        <w:t>步履维艰</w:t>
      </w:r>
    </w:p>
    <w:p w14:paraId="756C13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目前，我区只清理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1.24亿元的暂付款。距离全年5.4亿元的清理任务仍存在较大距离。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为平衡预算，2024年和今年上半年，往来款余额有所增加</w:t>
      </w:r>
      <w:r>
        <w:rPr>
          <w:rFonts w:hint="eastAsia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  <w:highlight w:val="none"/>
          <w:lang w:val="en-US" w:eastAsia="zh-CN"/>
        </w:rPr>
        <w:t>这进一步加大了我区清理暂付款的难度。</w:t>
      </w:r>
    </w:p>
    <w:p w14:paraId="0CBDA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黑体简体" w:cs="Times New Roman"/>
          <w:sz w:val="34"/>
          <w:szCs w:val="34"/>
        </w:rPr>
      </w:pPr>
      <w:r>
        <w:rPr>
          <w:rFonts w:hint="default" w:ascii="Times New Roman" w:hAnsi="Times New Roman" w:eastAsia="方正黑体简体" w:cs="Times New Roman"/>
          <w:sz w:val="34"/>
          <w:szCs w:val="34"/>
          <w:lang w:eastAsia="zh-CN"/>
        </w:rPr>
        <w:t>三</w:t>
      </w:r>
      <w:r>
        <w:rPr>
          <w:rFonts w:hint="default" w:ascii="Times New Roman" w:hAnsi="Times New Roman" w:eastAsia="方正黑体简体" w:cs="Times New Roman"/>
          <w:sz w:val="34"/>
          <w:szCs w:val="34"/>
        </w:rPr>
        <w:t>、下一步工作举措</w:t>
      </w:r>
    </w:p>
    <w:p w14:paraId="62298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</w:rPr>
      </w:pPr>
      <w:r>
        <w:rPr>
          <w:rFonts w:hint="default" w:ascii="Times New Roman" w:hAnsi="Times New Roman" w:eastAsia="方正仿宋简体" w:cs="Times New Roman"/>
          <w:sz w:val="34"/>
          <w:szCs w:val="34"/>
        </w:rPr>
        <w:t>为全力兜牢“三保”底线，防范化解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财政运行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风险，我们将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加大统筹盘活力度，积极拓展增收渠道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坚持预算法定，强化预算执行约束，不断提升财政治理效能。</w:t>
      </w:r>
    </w:p>
    <w:p w14:paraId="2688020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</w:pPr>
      <w:r>
        <w:rPr>
          <w:rFonts w:hint="default" w:ascii="Times New Roman" w:hAnsi="Times New Roman" w:eastAsia="方正楷体简体" w:cs="Times New Roman"/>
          <w:b w:val="0"/>
          <w:bCs/>
          <w:color w:val="000000"/>
          <w:sz w:val="34"/>
          <w:szCs w:val="34"/>
          <w:shd w:val="clear" w:color="auto" w:fill="FFFFFF"/>
        </w:rPr>
        <w:t>狠抓增收节支，硬化预算执行刚性。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</w:rPr>
        <w:t>一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val="en"/>
        </w:rPr>
        <w:t>是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深入剖析自身经济结构与资源禀赋，引导钢铁、纸业向高端化转型，增加产业附加值。二是持续做好收入组织调度工作，深挖税源、财源潜力。积极盘活资产资源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</w:rPr>
        <w:t>，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做大收入底盘，夯实我区财力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</w:rPr>
        <w:t>。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三是积极争取上级转移支付资金，全力保障全区各项事业发展。四是加强预算统筹，扩大国有资本经营预算覆盖范围，规范国有资本收益上交渠道和方式，提高国有资本经营预算对财力的贡献度。五是坚持习惯过紧日子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</w:rPr>
        <w:t>，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持续压减财政性支出。严控政府投资项目，兼顾财政的可承受性和项目的可实施性。</w:t>
      </w:r>
    </w:p>
    <w:p w14:paraId="0F4496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</w:pP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</w:rPr>
        <w:t>（</w:t>
      </w: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  <w:lang w:eastAsia="zh-CN"/>
        </w:rPr>
        <w:t>二</w:t>
      </w: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</w:rPr>
        <w:t>）</w:t>
      </w: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  <w:lang w:eastAsia="zh-CN"/>
        </w:rPr>
        <w:t>规范“三保”预算管理</w:t>
      </w: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</w:rPr>
        <w:t>，</w:t>
      </w: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  <w:lang w:eastAsia="zh-CN"/>
        </w:rPr>
        <w:t>全力</w:t>
      </w:r>
      <w:r>
        <w:rPr>
          <w:rFonts w:hint="default" w:ascii="Times New Roman" w:hAnsi="Times New Roman" w:eastAsia="方正楷体简体" w:cs="Times New Roman"/>
          <w:b w:val="0"/>
          <w:bCs/>
          <w:sz w:val="34"/>
          <w:szCs w:val="34"/>
        </w:rPr>
        <w:t>筑牢“三保”屏障。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</w:rPr>
        <w:t>始终坚持“三保”支出的优先顺序，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年初预算安排中足额保障“三保”支出，对“三保”范围内的支出事项逐一检查并注明“三保”标识，并对其实行全流程监管</w:t>
      </w:r>
      <w:r>
        <w:rPr>
          <w:rFonts w:hint="eastAsia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全力兜牢“三保”底线，筑牢“三保”屏障，确保“三保”支出不发生风险。</w:t>
      </w:r>
    </w:p>
    <w:p w14:paraId="6D9F1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</w:pPr>
      <w:r>
        <w:rPr>
          <w:rFonts w:hint="default" w:ascii="Times New Roman" w:hAnsi="Times New Roman" w:eastAsia="方正楷体简体" w:cs="Times New Roman"/>
          <w:b w:val="0"/>
          <w:bCs/>
          <w:color w:val="000000"/>
          <w:sz w:val="34"/>
          <w:szCs w:val="34"/>
          <w:shd w:val="clear" w:color="auto" w:fill="FFFFFF"/>
        </w:rPr>
        <w:t>（</w:t>
      </w:r>
      <w:r>
        <w:rPr>
          <w:rFonts w:hint="default" w:ascii="Times New Roman" w:hAnsi="Times New Roman" w:eastAsia="方正楷体简体" w:cs="Times New Roman"/>
          <w:b w:val="0"/>
          <w:bCs/>
          <w:color w:val="000000"/>
          <w:sz w:val="34"/>
          <w:szCs w:val="34"/>
          <w:shd w:val="clear" w:color="auto" w:fill="FFFFFF"/>
          <w:lang w:eastAsia="zh-CN"/>
        </w:rPr>
        <w:t>三</w:t>
      </w:r>
      <w:r>
        <w:rPr>
          <w:rFonts w:hint="default" w:ascii="Times New Roman" w:hAnsi="Times New Roman" w:eastAsia="方正楷体简体" w:cs="Times New Roman"/>
          <w:b w:val="0"/>
          <w:bCs/>
          <w:color w:val="000000"/>
          <w:sz w:val="34"/>
          <w:szCs w:val="34"/>
          <w:shd w:val="clear" w:color="auto" w:fill="FFFFFF"/>
        </w:rPr>
        <w:t>）严控暂付款规模,</w:t>
      </w:r>
      <w:r>
        <w:rPr>
          <w:rFonts w:hint="default" w:ascii="Times New Roman" w:hAnsi="Times New Roman" w:eastAsia="方正楷体简体" w:cs="Times New Roman"/>
          <w:b w:val="0"/>
          <w:bCs/>
          <w:color w:val="000000"/>
          <w:sz w:val="34"/>
          <w:szCs w:val="34"/>
          <w:shd w:val="clear" w:color="auto" w:fill="FFFFFF"/>
          <w:lang w:eastAsia="zh-CN"/>
        </w:rPr>
        <w:t>加快暂付款清理进度</w:t>
      </w:r>
      <w:r>
        <w:rPr>
          <w:rFonts w:hint="default" w:ascii="Times New Roman" w:hAnsi="Times New Roman" w:eastAsia="方正楷体简体" w:cs="Times New Roman"/>
          <w:b w:val="0"/>
          <w:bCs/>
          <w:color w:val="000000"/>
          <w:sz w:val="34"/>
          <w:szCs w:val="34"/>
          <w:shd w:val="clear" w:color="auto" w:fill="FFFFFF"/>
        </w:rPr>
        <w:t>。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切实强化暂付款管理，从源头控制借款规模。根据暂付款类型进一步明确暂付款清理路径，坚持多措并举、因地制宜，该核销的核销，该追缴的追缴，加快暂付款清理进度。按照年度暂付款清理目标，进一步加快清理存量，执行中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" w:eastAsia="zh-CN"/>
        </w:rPr>
        <w:t>力求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不新增暂付性款项，不断降低财政运行风险，提高财政管理效能。</w:t>
      </w:r>
    </w:p>
    <w:p w14:paraId="02D43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80" w:firstLineChars="200"/>
        <w:textAlignment w:val="auto"/>
        <w:rPr>
          <w:rFonts w:hint="default" w:ascii="Nimbus Roman No9 L" w:hAnsi="Nimbus Roman No9 L" w:eastAsia="方正黑体简体" w:cs="Nimbus Roman No9 L"/>
          <w:sz w:val="32"/>
          <w:szCs w:val="40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4"/>
          <w:szCs w:val="34"/>
        </w:rPr>
        <w:t>主任、各位副主任、各位委员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  <w:lang w:val="en-US" w:eastAsia="zh-CN"/>
        </w:rPr>
        <w:t>2025年是“十四五”规划收官之年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做好财政工作意义重大。我区将</w:t>
      </w:r>
      <w:r>
        <w:rPr>
          <w:rFonts w:hint="default" w:ascii="Times New Roman" w:hAnsi="Times New Roman" w:eastAsia="方正仿宋简体" w:cs="Times New Roman"/>
          <w:color w:val="000000"/>
          <w:sz w:val="34"/>
          <w:szCs w:val="34"/>
          <w:shd w:val="clear" w:color="auto" w:fill="FFFFFF"/>
          <w:lang w:eastAsia="zh-CN"/>
        </w:rPr>
        <w:t>严格执行人大批准的预算，非经法定程序不得调整。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全区在兜牢“三保”底线的基础上，弘扬实干精神，奋发有为扎实做好各项工作</w:t>
      </w:r>
      <w:r>
        <w:rPr>
          <w:rFonts w:hint="default" w:ascii="Times New Roman" w:hAnsi="Times New Roman" w:eastAsia="方正仿宋简体" w:cs="Times New Roman"/>
          <w:sz w:val="34"/>
          <w:szCs w:val="34"/>
        </w:rPr>
        <w:t>，</w:t>
      </w:r>
      <w:r>
        <w:rPr>
          <w:rFonts w:hint="default" w:ascii="Times New Roman" w:hAnsi="Times New Roman" w:eastAsia="方正仿宋简体" w:cs="Times New Roman"/>
          <w:sz w:val="34"/>
          <w:szCs w:val="34"/>
          <w:lang w:eastAsia="zh-CN"/>
        </w:rPr>
        <w:t>为宁河区事业发展贡献财政力量。</w:t>
      </w:r>
    </w:p>
    <w:p w14:paraId="28F03946">
      <w:pPr>
        <w:rPr>
          <w:rFonts w:hint="default" w:ascii="Nimbus Roman No9 L" w:hAnsi="Nimbus Roman No9 L" w:eastAsia="方正黑体简体" w:cs="Nimbus Roman No9 L"/>
          <w:sz w:val="32"/>
          <w:szCs w:val="40"/>
          <w:lang w:val="en-US" w:eastAsia="zh-CN"/>
        </w:rPr>
      </w:pPr>
    </w:p>
    <w:sectPr>
      <w:footerReference r:id="rId3" w:type="default"/>
      <w:pgSz w:w="11905" w:h="16838" w:orient="landscape"/>
      <w:pgMar w:top="2041" w:right="1559" w:bottom="1701" w:left="1559" w:header="850" w:footer="992" w:gutter="0"/>
      <w:pgNumType w:fmt="numberInDash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Nimbus Roman No9 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4AFD1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5EBD731">
                          <w:pPr>
                            <w:pStyle w:val="8"/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CgiEOj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5EBD731">
                    <w:pPr>
                      <w:pStyle w:val="8"/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3B61E4"/>
    <w:multiLevelType w:val="singleLevel"/>
    <w:tmpl w:val="213B61E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lYWNjNWRhZDQ2NDA0ZDU3NTM5ZGRlMDNhY2FlNWQifQ=="/>
  </w:docVars>
  <w:rsids>
    <w:rsidRoot w:val="0C1F06CB"/>
    <w:rsid w:val="028136A6"/>
    <w:rsid w:val="04004A02"/>
    <w:rsid w:val="04A50CA7"/>
    <w:rsid w:val="05A1491A"/>
    <w:rsid w:val="06AD3F25"/>
    <w:rsid w:val="0C1F06CB"/>
    <w:rsid w:val="0D9858B5"/>
    <w:rsid w:val="0DE45CB0"/>
    <w:rsid w:val="0FB442EB"/>
    <w:rsid w:val="111A796D"/>
    <w:rsid w:val="123F1C57"/>
    <w:rsid w:val="1A374E3D"/>
    <w:rsid w:val="1B4E2A86"/>
    <w:rsid w:val="1BB714B8"/>
    <w:rsid w:val="1C870C56"/>
    <w:rsid w:val="1D41213E"/>
    <w:rsid w:val="201A7599"/>
    <w:rsid w:val="22BA21D4"/>
    <w:rsid w:val="23A97736"/>
    <w:rsid w:val="2750429A"/>
    <w:rsid w:val="28B85D7E"/>
    <w:rsid w:val="2AF468CB"/>
    <w:rsid w:val="2B5D6215"/>
    <w:rsid w:val="2C39588F"/>
    <w:rsid w:val="2D99356A"/>
    <w:rsid w:val="2FF86770"/>
    <w:rsid w:val="2FFC1DCA"/>
    <w:rsid w:val="355A3255"/>
    <w:rsid w:val="36DE2B8B"/>
    <w:rsid w:val="378116B0"/>
    <w:rsid w:val="38494420"/>
    <w:rsid w:val="39FB040C"/>
    <w:rsid w:val="3EEF6A36"/>
    <w:rsid w:val="3FFD1C67"/>
    <w:rsid w:val="405C2B4B"/>
    <w:rsid w:val="409136B9"/>
    <w:rsid w:val="427633FF"/>
    <w:rsid w:val="42BE5FCD"/>
    <w:rsid w:val="4C187498"/>
    <w:rsid w:val="4F0928FC"/>
    <w:rsid w:val="50FC2D06"/>
    <w:rsid w:val="529F1F1E"/>
    <w:rsid w:val="55F75580"/>
    <w:rsid w:val="57F6FF46"/>
    <w:rsid w:val="5DFF8FB9"/>
    <w:rsid w:val="5EAFB08D"/>
    <w:rsid w:val="5EB66557"/>
    <w:rsid w:val="5F62775D"/>
    <w:rsid w:val="5F9F12E1"/>
    <w:rsid w:val="6175795C"/>
    <w:rsid w:val="626369CC"/>
    <w:rsid w:val="627D46FD"/>
    <w:rsid w:val="663D7F2F"/>
    <w:rsid w:val="672A7B1A"/>
    <w:rsid w:val="674B1526"/>
    <w:rsid w:val="67DE5199"/>
    <w:rsid w:val="67EB3E20"/>
    <w:rsid w:val="69AD4793"/>
    <w:rsid w:val="6D8E4E94"/>
    <w:rsid w:val="6EFC12C5"/>
    <w:rsid w:val="734B1104"/>
    <w:rsid w:val="7519674D"/>
    <w:rsid w:val="78103F36"/>
    <w:rsid w:val="78741E1D"/>
    <w:rsid w:val="792B5230"/>
    <w:rsid w:val="79970D02"/>
    <w:rsid w:val="7A0100E2"/>
    <w:rsid w:val="7E7FB43B"/>
    <w:rsid w:val="7FF77A25"/>
    <w:rsid w:val="B9EAF39D"/>
    <w:rsid w:val="BFF6AE1A"/>
    <w:rsid w:val="E6CDF75F"/>
    <w:rsid w:val="EF7F0686"/>
    <w:rsid w:val="FCEEBF8C"/>
    <w:rsid w:val="FFDBF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"/>
    <w:basedOn w:val="1"/>
    <w:next w:val="1"/>
    <w:qFormat/>
    <w:uiPriority w:val="0"/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6">
    <w:name w:val="Plain Text"/>
    <w:basedOn w:val="1"/>
    <w:qFormat/>
    <w:uiPriority w:val="0"/>
    <w:rPr>
      <w:rFonts w:ascii="宋体" w:hAnsi="Courier New" w:eastAsia="宋体"/>
      <w:sz w:val="21"/>
      <w:szCs w:val="20"/>
    </w:rPr>
  </w:style>
  <w:style w:type="paragraph" w:styleId="7">
    <w:name w:val="Body Text Indent 2"/>
    <w:basedOn w:val="1"/>
    <w:qFormat/>
    <w:uiPriority w:val="0"/>
    <w:pPr>
      <w:spacing w:line="360" w:lineRule="auto"/>
      <w:ind w:firstLine="555"/>
    </w:pPr>
    <w:rPr>
      <w:rFonts w:ascii="仿宋_GB2312" w:eastAsia="仿宋_GB2312"/>
      <w:sz w:val="2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9"/>
    <w:basedOn w:val="1"/>
    <w:next w:val="1"/>
    <w:qFormat/>
    <w:uiPriority w:val="0"/>
    <w:pPr>
      <w:ind w:left="3360"/>
    </w:pPr>
    <w:rPr>
      <w:rFonts w:ascii="Calibri" w:hAnsi="Calibri" w:eastAsia="宋体" w:cs="Times New Roman"/>
    </w:rPr>
  </w:style>
  <w:style w:type="paragraph" w:styleId="11">
    <w:name w:val="Body Text 2"/>
    <w:basedOn w:val="1"/>
    <w:unhideWhenUsed/>
    <w:qFormat/>
    <w:uiPriority w:val="99"/>
    <w:pPr>
      <w:spacing w:after="120" w:line="480" w:lineRule="auto"/>
    </w:pPr>
  </w:style>
  <w:style w:type="paragraph" w:styleId="12">
    <w:name w:val="Body Text First Indent 2"/>
    <w:basedOn w:val="5"/>
    <w:qFormat/>
    <w:uiPriority w:val="0"/>
    <w:pPr>
      <w:ind w:firstLine="420"/>
    </w:pPr>
    <w:rPr>
      <w:rFonts w:cs="Calibri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page number"/>
    <w:basedOn w:val="15"/>
    <w:qFormat/>
    <w:uiPriority w:val="0"/>
  </w:style>
  <w:style w:type="character" w:customStyle="1" w:styleId="17">
    <w:name w:val="NormalCharacter"/>
    <w:link w:val="1"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8">
    <w:name w:val="公文标题"/>
    <w:basedOn w:val="1"/>
    <w:qFormat/>
    <w:uiPriority w:val="0"/>
    <w:pPr>
      <w:adjustRightInd w:val="0"/>
      <w:spacing w:line="360" w:lineRule="atLeast"/>
      <w:jc w:val="center"/>
      <w:textAlignment w:val="baseline"/>
    </w:pPr>
    <w:rPr>
      <w:rFonts w:ascii="方正小标宋简体" w:eastAsia="方正小标宋简体"/>
      <w:kern w:val="0"/>
      <w:sz w:val="44"/>
      <w:szCs w:val="44"/>
    </w:rPr>
  </w:style>
  <w:style w:type="paragraph" w:customStyle="1" w:styleId="19">
    <w:name w:val="Body text|1"/>
    <w:basedOn w:val="1"/>
    <w:qFormat/>
    <w:uiPriority w:val="0"/>
    <w:pPr>
      <w:spacing w:line="422" w:lineRule="auto"/>
      <w:ind w:firstLine="400"/>
      <w:jc w:val="left"/>
    </w:pPr>
    <w:rPr>
      <w:rFonts w:ascii="宋体" w:hAnsi="宋体" w:cs="宋体"/>
      <w:sz w:val="28"/>
      <w:szCs w:val="28"/>
      <w:lang w:val="zh-TW" w:eastAsia="zh-TW" w:bidi="zh-TW"/>
    </w:rPr>
  </w:style>
  <w:style w:type="paragraph" w:customStyle="1" w:styleId="20">
    <w:name w:val="列出段落1"/>
    <w:basedOn w:val="1"/>
    <w:qFormat/>
    <w:uiPriority w:val="99"/>
    <w:pPr>
      <w:spacing w:after="160" w:line="259" w:lineRule="auto"/>
      <w:ind w:left="720"/>
      <w:contextualSpacing/>
    </w:pPr>
    <w:rPr>
      <w:rFonts w:ascii="Calibri" w:hAnsi="Calibri"/>
      <w:szCs w:val="20"/>
    </w:rPr>
  </w:style>
  <w:style w:type="paragraph" w:customStyle="1" w:styleId="21">
    <w:name w:val="样式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paragraph" w:customStyle="1" w:styleId="23">
    <w:name w:val="BodyText"/>
    <w:basedOn w:val="1"/>
    <w:next w:val="1"/>
    <w:qFormat/>
    <w:uiPriority w:val="0"/>
    <w:pPr>
      <w:spacing w:line="500" w:lineRule="exact"/>
      <w:jc w:val="center"/>
      <w:textAlignment w:val="baseline"/>
    </w:pPr>
    <w:rPr>
      <w:rFonts w:ascii="Calibri" w:hAnsi="Calibri" w:eastAsia="黑体"/>
      <w:kern w:val="2"/>
      <w:sz w:val="32"/>
      <w:szCs w:val="24"/>
      <w:lang w:val="en-US" w:eastAsia="zh-CN" w:bidi="ar-SA"/>
    </w:rPr>
  </w:style>
  <w:style w:type="paragraph" w:customStyle="1" w:styleId="24">
    <w:name w:val="样式 小四 首行缩进:  0.85 厘米 行距: 固定值 22 磅"/>
    <w:basedOn w:val="1"/>
    <w:next w:val="1"/>
    <w:qFormat/>
    <w:uiPriority w:val="99"/>
    <w:pPr>
      <w:spacing w:line="440" w:lineRule="exact"/>
      <w:ind w:firstLine="480"/>
    </w:pPr>
    <w:rPr>
      <w:sz w:val="24"/>
      <w:szCs w:val="24"/>
    </w:rPr>
  </w:style>
  <w:style w:type="character" w:customStyle="1" w:styleId="25">
    <w:name w:val="font11"/>
    <w:basedOn w:val="1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paragraph" w:customStyle="1" w:styleId="26">
    <w:name w:val="正文文本缩进 21"/>
    <w:basedOn w:val="1"/>
    <w:qFormat/>
    <w:uiPriority w:val="0"/>
    <w:pPr>
      <w:spacing w:after="120" w:line="480" w:lineRule="auto"/>
      <w:ind w:left="420" w:leftChars="200"/>
    </w:pPr>
    <w:rPr>
      <w:szCs w:val="24"/>
    </w:rPr>
  </w:style>
  <w:style w:type="paragraph" w:customStyle="1" w:styleId="27">
    <w:name w:val="普通(网站)1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  <w:szCs w:val="20"/>
    </w:rPr>
  </w:style>
  <w:style w:type="paragraph" w:customStyle="1" w:styleId="28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29">
    <w:name w:val="页码1"/>
    <w:basedOn w:val="30"/>
    <w:link w:val="1"/>
    <w:qFormat/>
    <w:uiPriority w:val="0"/>
  </w:style>
  <w:style w:type="character" w:customStyle="1" w:styleId="30">
    <w:name w:val="默认段落字体1"/>
    <w:link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1848</Words>
  <Characters>1971</Characters>
  <Lines>0</Lines>
  <Paragraphs>0</Paragraphs>
  <TotalTime>28</TotalTime>
  <ScaleCrop>false</ScaleCrop>
  <LinksUpToDate>false</LinksUpToDate>
  <CharactersWithSpaces>1989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2022-07-06T05:49:00Z</dcterms:created>
  <dc:creator>张彬</dc:creator>
  <cp:lastModifiedBy>缥缈孤鸿影</cp:lastModifiedBy>
  <cp:lastPrinted>2025-07-07T03:10:00Z</cp:lastPrinted>
  <dcterms:modified xsi:type="dcterms:W3CDTF">2025-07-08T08:58:34Z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9FBA5A1AC59545338582DD15CB82EC25_13</vt:lpwstr>
  </property>
  <property fmtid="{D5CDD505-2E9C-101B-9397-08002B2CF9AE}" pid="4" name="KSOTemplateDocerSaveRecord">
    <vt:lpwstr>eyJoZGlkIjoiYzkyNzc5ODFjNGQ1ZDdmYTQ2NGQ4NDgzZWM0N2RkMGUiLCJ1c2VySWQiOiIyNzY2OTk5NjUifQ==</vt:lpwstr>
  </property>
</Properties>
</file>