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6C222">
      <w:pPr>
        <w:spacing w:line="420" w:lineRule="atLeast"/>
        <w:jc w:val="center"/>
        <w:rPr>
          <w:rFonts w:hint="eastAsia" w:ascii="宋体" w:hAnsi="宋体" w:cs="宋体"/>
          <w:b/>
          <w:sz w:val="24"/>
        </w:rPr>
      </w:pPr>
      <w:r>
        <w:rPr>
          <w:rFonts w:hint="eastAsia" w:ascii="宋体" w:hAnsi="宋体" w:cs="宋体"/>
          <w:b/>
          <w:sz w:val="24"/>
        </w:rPr>
        <w:t>天津市宁河区公路养护服务中心2023年国省级公路日常养护工程施工招标公告</w:t>
      </w:r>
    </w:p>
    <w:p w14:paraId="1535A86C">
      <w:pPr>
        <w:spacing w:line="420" w:lineRule="exact"/>
        <w:jc w:val="left"/>
        <w:rPr>
          <w:rFonts w:hint="eastAsia" w:ascii="宋体" w:hAnsi="宋体" w:cs="宋体"/>
          <w:b/>
          <w:sz w:val="24"/>
          <w:highlight w:val="none"/>
        </w:rPr>
      </w:pPr>
      <w:bookmarkStart w:id="0" w:name="_Toc234349308"/>
      <w:r>
        <w:rPr>
          <w:rFonts w:hint="eastAsia" w:ascii="宋体" w:hAnsi="宋体" w:cs="宋体"/>
          <w:b/>
          <w:sz w:val="24"/>
          <w:highlight w:val="none"/>
        </w:rPr>
        <w:t>1.招标条件</w:t>
      </w:r>
      <w:bookmarkEnd w:id="0"/>
    </w:p>
    <w:p w14:paraId="28B7E9D7">
      <w:pPr>
        <w:pStyle w:val="6"/>
        <w:snapToGrid w:val="0"/>
        <w:spacing w:line="440" w:lineRule="exact"/>
        <w:ind w:firstLine="420" w:firstLineChars="200"/>
        <w:rPr>
          <w:rFonts w:hint="eastAsia" w:hAnsi="宋体"/>
          <w:szCs w:val="21"/>
          <w:highlight w:val="none"/>
        </w:rPr>
      </w:pPr>
      <w:r>
        <w:rPr>
          <w:rFonts w:ascii="Times New Roman" w:cs="Times New Roman"/>
          <w:color w:val="auto"/>
          <w:sz w:val="21"/>
          <w:szCs w:val="21"/>
          <w:highlight w:val="none"/>
        </w:rPr>
        <w:t>本招标项目</w:t>
      </w:r>
      <w:r>
        <w:rPr>
          <w:rFonts w:hint="eastAsia" w:ascii="Times New Roman" w:cs="Times New Roman"/>
          <w:color w:val="auto"/>
          <w:sz w:val="21"/>
          <w:szCs w:val="21"/>
          <w:highlight w:val="none"/>
          <w:u w:val="single"/>
        </w:rPr>
        <w:t>天津市宁河区公路养护服务中心2023年国省级公路日常养护工程项目</w:t>
      </w:r>
      <w:r>
        <w:rPr>
          <w:rFonts w:ascii="Times New Roman" w:cs="Times New Roman"/>
          <w:color w:val="auto"/>
          <w:sz w:val="21"/>
          <w:szCs w:val="21"/>
          <w:highlight w:val="none"/>
        </w:rPr>
        <w:t>已</w:t>
      </w:r>
      <w:r>
        <w:rPr>
          <w:rFonts w:hint="eastAsia" w:ascii="Times New Roman" w:cs="Times New Roman"/>
          <w:color w:val="auto"/>
          <w:sz w:val="21"/>
          <w:szCs w:val="21"/>
          <w:highlight w:val="none"/>
        </w:rPr>
        <w:t>由</w:t>
      </w:r>
      <w:r>
        <w:rPr>
          <w:rFonts w:hint="eastAsia"/>
          <w:sz w:val="21"/>
          <w:szCs w:val="21"/>
          <w:highlight w:val="none"/>
          <w:u w:val="single"/>
          <w:lang w:val="en-US" w:eastAsia="zh-CN"/>
        </w:rPr>
        <w:t>天津市宁河区交通局</w:t>
      </w:r>
      <w:r>
        <w:rPr>
          <w:sz w:val="21"/>
          <w:szCs w:val="21"/>
          <w:highlight w:val="none"/>
        </w:rPr>
        <w:t>以</w:t>
      </w:r>
      <w:r>
        <w:rPr>
          <w:rFonts w:hint="eastAsia"/>
          <w:sz w:val="21"/>
          <w:szCs w:val="21"/>
          <w:highlight w:val="none"/>
          <w:u w:val="single"/>
          <w:lang w:eastAsia="zh-CN"/>
        </w:rPr>
        <w:t>《</w:t>
      </w:r>
      <w:r>
        <w:rPr>
          <w:rFonts w:hint="eastAsia"/>
          <w:sz w:val="21"/>
          <w:szCs w:val="21"/>
          <w:highlight w:val="none"/>
          <w:u w:val="single"/>
          <w:lang w:val="en-US" w:eastAsia="zh-CN"/>
        </w:rPr>
        <w:t>宁河区交通局关于2023年宁河区国省级公路日常养护工程项目建议书的批复</w:t>
      </w:r>
      <w:r>
        <w:rPr>
          <w:rFonts w:hint="eastAsia"/>
          <w:sz w:val="21"/>
          <w:szCs w:val="21"/>
          <w:highlight w:val="none"/>
          <w:u w:val="single"/>
          <w:lang w:eastAsia="zh-CN"/>
        </w:rPr>
        <w:t>》（</w:t>
      </w:r>
      <w:r>
        <w:rPr>
          <w:rFonts w:hint="eastAsia"/>
          <w:sz w:val="21"/>
          <w:szCs w:val="21"/>
          <w:highlight w:val="none"/>
          <w:u w:val="single"/>
          <w:lang w:val="en-US" w:eastAsia="zh-CN"/>
        </w:rPr>
        <w:t>宁河交通政发〔2023〕3号</w:t>
      </w:r>
      <w:r>
        <w:rPr>
          <w:rFonts w:hint="eastAsia"/>
          <w:sz w:val="21"/>
          <w:szCs w:val="21"/>
          <w:highlight w:val="none"/>
          <w:u w:val="single"/>
          <w:lang w:eastAsia="zh-CN"/>
        </w:rPr>
        <w:t>）</w:t>
      </w:r>
      <w:r>
        <w:rPr>
          <w:sz w:val="21"/>
          <w:szCs w:val="21"/>
          <w:highlight w:val="none"/>
        </w:rPr>
        <w:t>批准</w:t>
      </w:r>
      <w:r>
        <w:rPr>
          <w:rFonts w:hint="eastAsia"/>
          <w:sz w:val="21"/>
          <w:szCs w:val="21"/>
          <w:highlight w:val="none"/>
          <w:lang w:val="en-US" w:eastAsia="zh-CN"/>
        </w:rPr>
        <w:t>建设</w:t>
      </w:r>
      <w:r>
        <w:rPr>
          <w:rFonts w:hint="eastAsia" w:ascii="Times New Roman" w:cs="Times New Roman"/>
          <w:color w:val="auto"/>
          <w:sz w:val="21"/>
          <w:szCs w:val="21"/>
          <w:highlight w:val="none"/>
        </w:rPr>
        <w:t>，</w:t>
      </w:r>
      <w:r>
        <w:rPr>
          <w:rFonts w:ascii="Times New Roman" w:cs="Times New Roman"/>
          <w:color w:val="auto"/>
          <w:sz w:val="21"/>
          <w:szCs w:val="21"/>
          <w:highlight w:val="none"/>
        </w:rPr>
        <w:t>项目业主为</w:t>
      </w:r>
      <w:r>
        <w:rPr>
          <w:rFonts w:hint="eastAsia" w:ascii="Times New Roman" w:cs="Times New Roman"/>
          <w:color w:val="auto"/>
          <w:sz w:val="21"/>
          <w:szCs w:val="21"/>
          <w:highlight w:val="none"/>
          <w:u w:val="single"/>
        </w:rPr>
        <w:t>天津市宁河区公路养护服务中心</w:t>
      </w:r>
      <w:r>
        <w:rPr>
          <w:rFonts w:ascii="Times New Roman" w:cs="Times New Roman"/>
          <w:color w:val="auto"/>
          <w:sz w:val="21"/>
          <w:szCs w:val="21"/>
          <w:highlight w:val="none"/>
        </w:rPr>
        <w:t>，建设资金来自</w:t>
      </w:r>
      <w:r>
        <w:rPr>
          <w:rFonts w:hint="eastAsia"/>
          <w:color w:val="auto"/>
          <w:sz w:val="21"/>
          <w:szCs w:val="21"/>
          <w:highlight w:val="none"/>
          <w:u w:val="single"/>
          <w:lang w:val="en-US" w:eastAsia="zh-CN"/>
        </w:rPr>
        <w:t>天津市市财政补贴资金</w:t>
      </w:r>
      <w:r>
        <w:rPr>
          <w:rFonts w:ascii="Times New Roman" w:cs="Times New Roman"/>
          <w:color w:val="auto"/>
          <w:sz w:val="21"/>
          <w:szCs w:val="21"/>
          <w:highlight w:val="none"/>
        </w:rPr>
        <w:t>，出资比例为</w:t>
      </w:r>
      <w:r>
        <w:rPr>
          <w:rFonts w:hint="eastAsia"/>
          <w:sz w:val="21"/>
          <w:szCs w:val="21"/>
          <w:highlight w:val="none"/>
          <w:u w:val="single"/>
        </w:rPr>
        <w:t>100%</w:t>
      </w:r>
      <w:r>
        <w:rPr>
          <w:rFonts w:ascii="Times New Roman" w:cs="Times New Roman"/>
          <w:color w:val="auto"/>
          <w:sz w:val="21"/>
          <w:szCs w:val="21"/>
          <w:highlight w:val="none"/>
        </w:rPr>
        <w:t>，招标人为</w:t>
      </w:r>
      <w:r>
        <w:rPr>
          <w:rFonts w:hint="eastAsia" w:ascii="Times New Roman" w:cs="Times New Roman"/>
          <w:color w:val="auto"/>
          <w:sz w:val="21"/>
          <w:szCs w:val="21"/>
          <w:highlight w:val="none"/>
          <w:u w:val="single"/>
        </w:rPr>
        <w:t>天津市宁河区公路养护服务中心</w:t>
      </w:r>
      <w:r>
        <w:rPr>
          <w:rFonts w:ascii="Times New Roman" w:cs="Times New Roman"/>
          <w:color w:val="auto"/>
          <w:sz w:val="21"/>
          <w:szCs w:val="21"/>
          <w:highlight w:val="none"/>
        </w:rPr>
        <w:t>。项目已具备招标条件，现对该项目的</w:t>
      </w:r>
      <w:r>
        <w:rPr>
          <w:rFonts w:hint="eastAsia" w:ascii="Times New Roman" w:cs="Times New Roman"/>
          <w:color w:val="auto"/>
          <w:sz w:val="21"/>
          <w:szCs w:val="21"/>
          <w:highlight w:val="none"/>
        </w:rPr>
        <w:t>工程</w:t>
      </w:r>
      <w:r>
        <w:rPr>
          <w:rFonts w:ascii="Times New Roman" w:cs="Times New Roman"/>
          <w:color w:val="auto"/>
          <w:sz w:val="21"/>
          <w:szCs w:val="21"/>
          <w:highlight w:val="none"/>
        </w:rPr>
        <w:t>施工进行公开招标</w:t>
      </w:r>
      <w:r>
        <w:rPr>
          <w:rFonts w:ascii="Times New Roman" w:cs="Times New Roman"/>
          <w:sz w:val="21"/>
          <w:szCs w:val="21"/>
          <w:highlight w:val="none"/>
        </w:rPr>
        <w:t>。</w:t>
      </w:r>
    </w:p>
    <w:p w14:paraId="087356E0">
      <w:pPr>
        <w:spacing w:line="420" w:lineRule="exact"/>
        <w:jc w:val="left"/>
        <w:rPr>
          <w:rFonts w:hint="eastAsia" w:ascii="宋体" w:hAnsi="宋体" w:cs="宋体"/>
          <w:b/>
          <w:sz w:val="24"/>
          <w:highlight w:val="none"/>
        </w:rPr>
      </w:pPr>
      <w:bookmarkStart w:id="1" w:name="_Toc234349309"/>
      <w:r>
        <w:rPr>
          <w:rFonts w:hint="eastAsia" w:ascii="宋体" w:hAnsi="宋体" w:cs="宋体"/>
          <w:b/>
          <w:sz w:val="24"/>
          <w:highlight w:val="none"/>
        </w:rPr>
        <w:t>2.项目概况与招标范围</w:t>
      </w:r>
      <w:bookmarkEnd w:id="1"/>
    </w:p>
    <w:p w14:paraId="5DC83AD8">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2.1项目概况</w:t>
      </w:r>
    </w:p>
    <w:p w14:paraId="18D09B68">
      <w:pPr>
        <w:spacing w:line="420" w:lineRule="exact"/>
        <w:ind w:firstLine="408"/>
        <w:rPr>
          <w:rFonts w:hint="eastAsia" w:ascii="宋体" w:hAnsi="宋体" w:cs="宋体"/>
          <w:szCs w:val="21"/>
          <w:highlight w:val="none"/>
        </w:rPr>
      </w:pPr>
      <w:r>
        <w:rPr>
          <w:rFonts w:hint="eastAsia" w:ascii="宋体" w:hAnsi="宋体" w:cs="宋体"/>
          <w:szCs w:val="21"/>
          <w:highlight w:val="none"/>
        </w:rPr>
        <w:t>天津市宁河区公路养护服务中心2023年国省级公路日常养护工程</w:t>
      </w:r>
      <w:r>
        <w:rPr>
          <w:rFonts w:hint="eastAsia" w:ascii="宋体" w:hAnsi="宋体" w:cs="宋体"/>
          <w:szCs w:val="21"/>
          <w:highlight w:val="none"/>
          <w:lang w:eastAsia="zh-CN"/>
        </w:rPr>
        <w:t>，</w:t>
      </w:r>
      <w:r>
        <w:rPr>
          <w:rFonts w:hint="eastAsia" w:ascii="宋体" w:hAnsi="宋体" w:cs="宋体"/>
          <w:szCs w:val="21"/>
          <w:highlight w:val="none"/>
        </w:rPr>
        <w:t>主要针对路面裂缝、坑槽、车辙等病害进行修复性养护，对中小桥梁进行日常养护。</w:t>
      </w:r>
    </w:p>
    <w:p w14:paraId="4B161EC5">
      <w:pPr>
        <w:spacing w:line="420" w:lineRule="exact"/>
        <w:ind w:firstLine="408"/>
        <w:rPr>
          <w:rFonts w:hint="eastAsia" w:ascii="宋体" w:hAnsi="宋体" w:cs="宋体"/>
          <w:szCs w:val="21"/>
          <w:highlight w:val="none"/>
        </w:rPr>
      </w:pPr>
      <w:r>
        <w:rPr>
          <w:rFonts w:hint="eastAsia" w:ascii="宋体" w:hAnsi="宋体" w:cs="宋体"/>
          <w:szCs w:val="21"/>
          <w:highlight w:val="none"/>
        </w:rPr>
        <w:t>2.2招标范围：</w:t>
      </w:r>
    </w:p>
    <w:p w14:paraId="1595FC2A">
      <w:pPr>
        <w:spacing w:line="420" w:lineRule="exact"/>
        <w:ind w:firstLine="408"/>
        <w:rPr>
          <w:rFonts w:hint="eastAsia" w:ascii="宋体" w:hAnsi="宋体" w:cs="宋体"/>
          <w:szCs w:val="21"/>
          <w:highlight w:val="none"/>
        </w:rPr>
      </w:pPr>
      <w:r>
        <w:rPr>
          <w:rFonts w:hint="eastAsia" w:ascii="宋体" w:hAnsi="宋体" w:cs="宋体"/>
          <w:szCs w:val="21"/>
          <w:highlight w:val="none"/>
          <w:lang w:val="en-US" w:eastAsia="zh-CN"/>
        </w:rPr>
        <w:t>本工程涉及国省级干线公路12条，总里程235.459公里，路面净养护面积413.03万平方米，桥梁养护面积1.99万平方米。主要针对路面裂缝、坑槽、车辙等病害进行修复性养护，对中小桥梁进行日常养护。</w:t>
      </w:r>
      <w:r>
        <w:rPr>
          <w:rFonts w:hint="eastAsia" w:ascii="宋体" w:hAnsi="宋体" w:cs="宋体"/>
          <w:szCs w:val="21"/>
          <w:highlight w:val="none"/>
        </w:rPr>
        <w:t>具体详见工程量清单及图纸。</w:t>
      </w:r>
    </w:p>
    <w:p w14:paraId="3F4252A2">
      <w:pPr>
        <w:spacing w:line="420" w:lineRule="exact"/>
        <w:ind w:firstLine="408"/>
        <w:rPr>
          <w:rFonts w:hint="eastAsia" w:ascii="宋体" w:hAnsi="宋体" w:cs="宋体"/>
          <w:szCs w:val="21"/>
          <w:highlight w:val="none"/>
        </w:rPr>
      </w:pPr>
      <w:r>
        <w:rPr>
          <w:rFonts w:hint="eastAsia" w:ascii="宋体" w:hAnsi="宋体" w:cs="宋体"/>
          <w:szCs w:val="21"/>
          <w:highlight w:val="none"/>
        </w:rPr>
        <w:t>2.3计划施工工期：</w:t>
      </w:r>
    </w:p>
    <w:p w14:paraId="33361441">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计划施工工期为202</w:t>
      </w:r>
      <w:r>
        <w:rPr>
          <w:rFonts w:hint="eastAsia" w:ascii="宋体" w:hAnsi="宋体" w:cs="宋体"/>
          <w:szCs w:val="21"/>
          <w:highlight w:val="none"/>
          <w:lang w:val="en-US" w:eastAsia="zh-CN"/>
        </w:rPr>
        <w:t>3</w:t>
      </w:r>
      <w:r>
        <w:rPr>
          <w:rFonts w:hint="eastAsia" w:ascii="宋体" w:hAnsi="宋体" w:cs="宋体"/>
          <w:szCs w:val="21"/>
          <w:highlight w:val="none"/>
        </w:rPr>
        <w:t>年</w:t>
      </w:r>
      <w:r>
        <w:rPr>
          <w:rFonts w:hint="eastAsia" w:ascii="宋体" w:hAnsi="宋体" w:cs="宋体"/>
          <w:szCs w:val="21"/>
          <w:highlight w:val="none"/>
          <w:lang w:val="en-US" w:eastAsia="zh-CN"/>
        </w:rPr>
        <w:t>05</w:t>
      </w:r>
      <w:r>
        <w:rPr>
          <w:rFonts w:hint="eastAsia" w:ascii="宋体" w:hAnsi="宋体" w:cs="宋体"/>
          <w:szCs w:val="21"/>
          <w:highlight w:val="none"/>
        </w:rPr>
        <w:t>月</w:t>
      </w:r>
      <w:r>
        <w:rPr>
          <w:rFonts w:hint="eastAsia" w:ascii="宋体" w:hAnsi="宋体" w:cs="宋体"/>
          <w:szCs w:val="21"/>
          <w:highlight w:val="none"/>
          <w:lang w:val="en-US" w:eastAsia="zh-CN"/>
        </w:rPr>
        <w:t>31</w:t>
      </w:r>
      <w:r>
        <w:rPr>
          <w:rFonts w:hint="eastAsia" w:ascii="宋体" w:hAnsi="宋体" w:cs="宋体"/>
          <w:szCs w:val="21"/>
          <w:highlight w:val="none"/>
        </w:rPr>
        <w:t>日至202</w:t>
      </w:r>
      <w:r>
        <w:rPr>
          <w:rFonts w:hint="eastAsia" w:ascii="宋体" w:hAnsi="宋体" w:cs="宋体"/>
          <w:szCs w:val="21"/>
          <w:highlight w:val="none"/>
          <w:lang w:val="en-US" w:eastAsia="zh-CN"/>
        </w:rPr>
        <w:t>4</w:t>
      </w:r>
      <w:r>
        <w:rPr>
          <w:rFonts w:hint="eastAsia" w:ascii="宋体" w:hAnsi="宋体" w:cs="宋体"/>
          <w:szCs w:val="21"/>
          <w:highlight w:val="none"/>
        </w:rPr>
        <w:t>年</w:t>
      </w:r>
      <w:r>
        <w:rPr>
          <w:rFonts w:hint="eastAsia" w:ascii="宋体" w:hAnsi="宋体" w:cs="宋体"/>
          <w:szCs w:val="21"/>
          <w:highlight w:val="none"/>
          <w:lang w:val="en-US" w:eastAsia="zh-CN"/>
        </w:rPr>
        <w:t>06</w:t>
      </w:r>
      <w:r>
        <w:rPr>
          <w:rFonts w:hint="eastAsia" w:ascii="宋体" w:hAnsi="宋体" w:cs="宋体"/>
          <w:szCs w:val="21"/>
          <w:highlight w:val="none"/>
        </w:rPr>
        <w:t>月</w:t>
      </w:r>
      <w:r>
        <w:rPr>
          <w:rFonts w:hint="eastAsia" w:ascii="宋体" w:hAnsi="宋体" w:cs="宋体"/>
          <w:szCs w:val="21"/>
          <w:highlight w:val="none"/>
          <w:lang w:val="en-US" w:eastAsia="zh-CN"/>
        </w:rPr>
        <w:t>01</w:t>
      </w:r>
      <w:r>
        <w:rPr>
          <w:rFonts w:hint="eastAsia" w:ascii="宋体" w:hAnsi="宋体" w:cs="宋体"/>
          <w:szCs w:val="21"/>
          <w:highlight w:val="none"/>
        </w:rPr>
        <w:t>日，共计</w:t>
      </w:r>
      <w:r>
        <w:rPr>
          <w:rFonts w:hint="eastAsia" w:ascii="宋体" w:hAnsi="宋体" w:cs="宋体"/>
          <w:szCs w:val="21"/>
          <w:highlight w:val="none"/>
          <w:lang w:val="en-US" w:eastAsia="zh-CN"/>
        </w:rPr>
        <w:t>365</w:t>
      </w:r>
      <w:r>
        <w:rPr>
          <w:rFonts w:hint="eastAsia" w:ascii="宋体" w:hAnsi="宋体" w:cs="宋体"/>
          <w:szCs w:val="21"/>
          <w:highlight w:val="none"/>
        </w:rPr>
        <w:t>日历天。</w:t>
      </w:r>
      <w:r>
        <w:rPr>
          <w:rFonts w:hint="eastAsia" w:ascii="宋体" w:hAnsi="宋体" w:cs="宋体"/>
          <w:szCs w:val="21"/>
          <w:highlight w:val="none"/>
          <w:lang w:val="en-US" w:eastAsia="zh-CN"/>
        </w:rPr>
        <w:t>具体工期安排以合同签订之间为准。</w:t>
      </w:r>
    </w:p>
    <w:p w14:paraId="05679EF4">
      <w:pPr>
        <w:spacing w:line="420" w:lineRule="exact"/>
        <w:jc w:val="left"/>
        <w:rPr>
          <w:rFonts w:hint="eastAsia" w:ascii="宋体" w:hAnsi="宋体" w:cs="宋体"/>
          <w:b/>
          <w:sz w:val="24"/>
          <w:highlight w:val="none"/>
        </w:rPr>
      </w:pPr>
      <w:r>
        <w:rPr>
          <w:rFonts w:hint="eastAsia" w:ascii="宋体" w:hAnsi="宋体" w:cs="宋体"/>
          <w:b/>
          <w:sz w:val="24"/>
          <w:highlight w:val="none"/>
        </w:rPr>
        <w:t xml:space="preserve">3．投标人资格要求 </w:t>
      </w:r>
    </w:p>
    <w:p w14:paraId="28EE05CD">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3.1本次招标要求投标人应具有在中华人民共和国境内注册的独立法人资格，并具备</w:t>
      </w:r>
      <w:r>
        <w:rPr>
          <w:rFonts w:hint="eastAsia" w:ascii="宋体" w:hAnsi="宋体" w:cs="宋体"/>
          <w:szCs w:val="21"/>
          <w:highlight w:val="none"/>
          <w:u w:val="single"/>
        </w:rPr>
        <w:t>1、天津市交通运输主管部门颁发的原养护资质证书，类别级别要求为公路养护工程二类（甲级）</w:t>
      </w:r>
      <w:r>
        <w:rPr>
          <w:rFonts w:hint="eastAsia" w:ascii="宋体" w:hAnsi="宋体" w:cs="宋体"/>
          <w:szCs w:val="21"/>
          <w:highlight w:val="none"/>
          <w:u w:val="single"/>
          <w:lang w:val="en-US" w:eastAsia="zh-CN"/>
        </w:rPr>
        <w:t>及以上</w:t>
      </w:r>
      <w:r>
        <w:rPr>
          <w:rFonts w:hint="eastAsia" w:ascii="宋体" w:hAnsi="宋体" w:cs="宋体"/>
          <w:szCs w:val="21"/>
          <w:highlight w:val="none"/>
          <w:u w:val="single"/>
        </w:rPr>
        <w:t>资质（在有效期内）；2、各省、自治区、直辖市人民政府交通运输主管部门颁发的新养护资质证书，序列等级要求为路基路面养护甲级、桥梁养护甲级、交通安全设施养护资质（在有效期内）；3、京冀企业资质按照天津市人民政府政务服务办公室印发的《关于印发《京冀企业资质资格在我市直接生效和可直接认定的涉企行政许可事项清单》的通知》执行，类别级别要求同第1条，近五年内（工程交工时间为2018年1月1日至投标截止之日）至少完成过一项一级及以上公路养护工程施工业绩，并在人员、设备、资金等方面具备相应的施工能力。</w:t>
      </w:r>
      <w:r>
        <w:rPr>
          <w:rFonts w:hint="eastAsia" w:ascii="宋体" w:hAnsi="宋体" w:cs="宋体"/>
          <w:szCs w:val="21"/>
          <w:highlight w:val="none"/>
        </w:rPr>
        <w:t>投标人应进入交通运输部“全国公路建设市场信用信息管理系统（https://hwdms.mot.gov.cn/BMWebSite/index.jsp）”中的公路工程施工资质企业名录，且投标人名称和资质与该名录中的相应企业名称和资质完全一致。</w:t>
      </w:r>
      <w:r>
        <w:rPr>
          <w:rFonts w:hint="eastAsia" w:ascii="宋体" w:hAnsi="宋体" w:eastAsia="宋体" w:cs="宋体"/>
          <w:szCs w:val="21"/>
          <w:highlight w:val="none"/>
        </w:rPr>
        <w:t>已取得建筑业</w:t>
      </w:r>
      <w:r>
        <w:rPr>
          <w:rFonts w:hint="eastAsia" w:ascii="宋体" w:hAnsi="宋体" w:cs="宋体"/>
          <w:szCs w:val="21"/>
          <w:highlight w:val="none"/>
        </w:rPr>
        <w:t>企业资质证书的投标人，由于在资产、主要人员、技术装备等方面已不能满足《建筑业企业资质管理规定》（住房和城乡建设部令第22号）、《住房和城乡建设部关于简化建筑业企业资质标准部分指标的通知》（建市〔2016〕226号）规定，被投标人注册地省级住房城乡建设主管部门责令限期整改（以省级住房城乡建设主管部门网站历次发布的责令企业限期整改的公告为准）且在整改期限有效期内的，不得参与投标。</w:t>
      </w:r>
    </w:p>
    <w:p w14:paraId="1D40EFC4">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3.2本次招标</w:t>
      </w:r>
      <w:r>
        <w:rPr>
          <w:rFonts w:hint="eastAsia" w:ascii="宋体" w:hAnsi="宋体" w:cs="宋体"/>
          <w:szCs w:val="21"/>
          <w:highlight w:val="none"/>
          <w:lang w:val="en-US" w:eastAsia="zh-CN"/>
        </w:rPr>
        <w:t xml:space="preserve"> </w:t>
      </w:r>
      <w:r>
        <w:rPr>
          <w:rFonts w:hint="eastAsia" w:ascii="宋体" w:hAnsi="宋体" w:cs="宋体"/>
          <w:szCs w:val="21"/>
          <w:highlight w:val="none"/>
        </w:rPr>
        <w:t>不接受</w:t>
      </w:r>
      <w:r>
        <w:rPr>
          <w:rFonts w:hint="eastAsia" w:ascii="宋体" w:hAnsi="宋体" w:cs="宋体"/>
          <w:szCs w:val="21"/>
          <w:highlight w:val="none"/>
          <w:lang w:val="en-US" w:eastAsia="zh-CN"/>
        </w:rPr>
        <w:t xml:space="preserve"> </w:t>
      </w:r>
      <w:r>
        <w:rPr>
          <w:rFonts w:hint="eastAsia" w:ascii="宋体" w:hAnsi="宋体" w:cs="宋体"/>
          <w:szCs w:val="21"/>
          <w:highlight w:val="none"/>
        </w:rPr>
        <w:t>联合体投标。</w:t>
      </w:r>
    </w:p>
    <w:p w14:paraId="7D06FD9C">
      <w:pPr>
        <w:spacing w:line="420" w:lineRule="exact"/>
        <w:ind w:firstLine="420" w:firstLineChars="200"/>
        <w:jc w:val="left"/>
        <w:rPr>
          <w:rFonts w:hint="eastAsia" w:ascii="宋体" w:hAnsi="宋体" w:cs="宋体"/>
          <w:szCs w:val="21"/>
          <w:highlight w:val="none"/>
          <w:u w:val="single"/>
        </w:rPr>
      </w:pPr>
      <w:r>
        <w:rPr>
          <w:rFonts w:hint="eastAsia" w:ascii="宋体" w:hAnsi="宋体" w:cs="宋体"/>
          <w:bCs/>
          <w:szCs w:val="21"/>
          <w:highlight w:val="none"/>
        </w:rPr>
        <w:t>3.3与招标人存在利害关系可能影响招标公正性的单位，不得参加投标，单位负责人为同一人或存在控股、管理关系的不同单位，不得参加同一标段投标，否则，相关投标均无效。</w:t>
      </w:r>
    </w:p>
    <w:p w14:paraId="1556800F">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w:t>
      </w:r>
      <w:r>
        <w:rPr>
          <w:rFonts w:hint="eastAsia" w:ascii="宋体" w:hAnsi="宋体" w:cs="宋体"/>
          <w:szCs w:val="21"/>
          <w:highlight w:val="none"/>
          <w:lang w:val="en-US" w:eastAsia="zh-CN"/>
        </w:rPr>
        <w:t>4</w:t>
      </w:r>
      <w:r>
        <w:rPr>
          <w:rFonts w:hint="eastAsia" w:ascii="宋体" w:hAnsi="宋体" w:cs="宋体"/>
          <w:szCs w:val="21"/>
          <w:highlight w:val="none"/>
        </w:rPr>
        <w:t>在“信用中国”网站（http://www.creditchina.gov.cn/）中被列入失信被执行人名单的投标人，不得参加投标。</w:t>
      </w:r>
    </w:p>
    <w:p w14:paraId="7F31BEA7">
      <w:pPr>
        <w:spacing w:line="420" w:lineRule="exact"/>
        <w:jc w:val="left"/>
        <w:rPr>
          <w:rFonts w:hint="eastAsia" w:ascii="宋体" w:hAnsi="宋体" w:cs="宋体"/>
          <w:b/>
          <w:sz w:val="24"/>
          <w:highlight w:val="none"/>
        </w:rPr>
      </w:pPr>
      <w:bookmarkStart w:id="2" w:name="_Toc234349311"/>
      <w:bookmarkStart w:id="3" w:name="_Toc234348737"/>
      <w:r>
        <w:rPr>
          <w:rFonts w:hint="eastAsia" w:ascii="宋体" w:hAnsi="宋体" w:cs="宋体"/>
          <w:b/>
          <w:sz w:val="24"/>
          <w:highlight w:val="none"/>
        </w:rPr>
        <w:t>4．招标文件的获取</w:t>
      </w:r>
      <w:bookmarkEnd w:id="2"/>
      <w:bookmarkEnd w:id="3"/>
    </w:p>
    <w:p w14:paraId="382EA160">
      <w:pPr>
        <w:spacing w:line="420" w:lineRule="exact"/>
        <w:ind w:firstLine="420" w:firstLineChars="200"/>
        <w:jc w:val="left"/>
        <w:rPr>
          <w:rFonts w:hint="eastAsia" w:ascii="宋体" w:hAnsi="宋体" w:cs="宋体"/>
          <w:szCs w:val="21"/>
          <w:highlight w:val="none"/>
        </w:rPr>
      </w:pPr>
      <w:bookmarkStart w:id="4" w:name="_Toc234349312"/>
      <w:bookmarkStart w:id="5" w:name="_Toc234348738"/>
      <w:r>
        <w:rPr>
          <w:rFonts w:hint="eastAsia" w:ascii="宋体" w:hAnsi="宋体" w:cs="宋体"/>
          <w:szCs w:val="21"/>
          <w:highlight w:val="none"/>
        </w:rPr>
        <w:t>4.1凡有意参加投标者，请于202</w:t>
      </w:r>
      <w:r>
        <w:rPr>
          <w:rFonts w:hint="eastAsia" w:ascii="宋体" w:hAnsi="宋体" w:cs="宋体"/>
          <w:szCs w:val="21"/>
          <w:highlight w:val="none"/>
          <w:lang w:val="en-US" w:eastAsia="zh-CN"/>
        </w:rPr>
        <w:t>3</w:t>
      </w:r>
      <w:r>
        <w:rPr>
          <w:rFonts w:hint="eastAsia" w:ascii="宋体" w:hAnsi="宋体" w:cs="宋体"/>
          <w:szCs w:val="21"/>
          <w:highlight w:val="none"/>
        </w:rPr>
        <w:t>年</w:t>
      </w:r>
      <w:r>
        <w:rPr>
          <w:rFonts w:hint="eastAsia" w:ascii="宋体" w:hAnsi="宋体" w:cs="宋体"/>
          <w:szCs w:val="21"/>
          <w:highlight w:val="none"/>
          <w:lang w:val="en-US" w:eastAsia="zh-CN"/>
        </w:rPr>
        <w:t>4</w:t>
      </w:r>
      <w:r>
        <w:rPr>
          <w:rFonts w:hint="eastAsia" w:ascii="宋体" w:hAnsi="宋体" w:cs="宋体"/>
          <w:szCs w:val="21"/>
          <w:highlight w:val="none"/>
        </w:rPr>
        <w:t>月2</w:t>
      </w:r>
      <w:r>
        <w:rPr>
          <w:rFonts w:hint="eastAsia" w:ascii="宋体" w:hAnsi="宋体" w:cs="宋体"/>
          <w:szCs w:val="21"/>
          <w:highlight w:val="none"/>
          <w:lang w:val="en-US" w:eastAsia="zh-CN"/>
        </w:rPr>
        <w:t>7</w:t>
      </w:r>
      <w:r>
        <w:rPr>
          <w:rFonts w:hint="eastAsia" w:ascii="宋体" w:hAnsi="宋体" w:cs="宋体"/>
          <w:szCs w:val="21"/>
          <w:highlight w:val="none"/>
        </w:rPr>
        <w:t>日至202</w:t>
      </w:r>
      <w:r>
        <w:rPr>
          <w:rFonts w:hint="eastAsia" w:ascii="宋体" w:hAnsi="宋体" w:cs="宋体"/>
          <w:szCs w:val="21"/>
          <w:highlight w:val="none"/>
          <w:lang w:val="en-US" w:eastAsia="zh-CN"/>
        </w:rPr>
        <w:t>3</w:t>
      </w:r>
      <w:r>
        <w:rPr>
          <w:rFonts w:hint="eastAsia" w:ascii="宋体" w:hAnsi="宋体" w:cs="宋体"/>
          <w:szCs w:val="21"/>
          <w:highlight w:val="none"/>
        </w:rPr>
        <w:t>年</w:t>
      </w:r>
      <w:r>
        <w:rPr>
          <w:rFonts w:hint="eastAsia" w:ascii="宋体" w:hAnsi="宋体" w:cs="宋体"/>
          <w:szCs w:val="21"/>
          <w:highlight w:val="none"/>
          <w:lang w:val="en-US" w:eastAsia="zh-CN"/>
        </w:rPr>
        <w:t>5</w:t>
      </w:r>
      <w:r>
        <w:rPr>
          <w:rFonts w:hint="eastAsia" w:ascii="宋体" w:hAnsi="宋体" w:cs="宋体"/>
          <w:szCs w:val="21"/>
          <w:highlight w:val="none"/>
        </w:rPr>
        <w:t>月</w:t>
      </w:r>
      <w:r>
        <w:rPr>
          <w:rFonts w:hint="eastAsia" w:ascii="宋体" w:hAnsi="宋体" w:cs="宋体"/>
          <w:szCs w:val="21"/>
          <w:highlight w:val="none"/>
          <w:lang w:val="en-US" w:eastAsia="zh-CN"/>
        </w:rPr>
        <w:t>8</w:t>
      </w:r>
      <w:r>
        <w:rPr>
          <w:rFonts w:hint="eastAsia" w:ascii="宋体" w:hAnsi="宋体" w:cs="宋体"/>
          <w:szCs w:val="21"/>
          <w:highlight w:val="none"/>
        </w:rPr>
        <w:t>日（节假日除外），每日上午9时00分至12时00分，下午</w:t>
      </w:r>
      <w:r>
        <w:rPr>
          <w:rFonts w:hint="eastAsia" w:ascii="宋体" w:hAnsi="宋体" w:cs="宋体"/>
          <w:szCs w:val="21"/>
          <w:highlight w:val="none"/>
          <w:lang w:val="en-US" w:eastAsia="zh-CN"/>
        </w:rPr>
        <w:t>2</w:t>
      </w:r>
      <w:r>
        <w:rPr>
          <w:rFonts w:hint="eastAsia" w:ascii="宋体" w:hAnsi="宋体" w:cs="宋体"/>
          <w:szCs w:val="21"/>
          <w:highlight w:val="none"/>
        </w:rPr>
        <w:t>时00分至</w:t>
      </w:r>
      <w:r>
        <w:rPr>
          <w:rFonts w:hint="eastAsia" w:ascii="宋体" w:hAnsi="宋体" w:cs="宋体"/>
          <w:szCs w:val="21"/>
          <w:highlight w:val="none"/>
          <w:lang w:val="en-US" w:eastAsia="zh-CN"/>
        </w:rPr>
        <w:t>5</w:t>
      </w:r>
      <w:r>
        <w:rPr>
          <w:rFonts w:hint="eastAsia" w:ascii="宋体" w:hAnsi="宋体" w:cs="宋体"/>
          <w:szCs w:val="21"/>
          <w:highlight w:val="none"/>
        </w:rPr>
        <w:t>时00分（北京时间，下同），将介绍信及经办人身份证复印件加盖公章后扫描成PDF发送至chenchen02@cntcitc.com.cn邮箱（联系项目负责人确认满足资格条件后汇款）,并注明：1、项目名称；2、投标单位名称；3、联系人；4、联系方式；5、投标单位联系邮箱；6、增值税开票种类及具体开票信息；</w:t>
      </w:r>
    </w:p>
    <w:p w14:paraId="2251AD05">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4.2招标文件每套售价1000元，图纸</w:t>
      </w:r>
      <w:r>
        <w:rPr>
          <w:rFonts w:hint="eastAsia" w:ascii="宋体" w:hAnsi="宋体" w:cs="宋体"/>
          <w:szCs w:val="21"/>
          <w:highlight w:val="none"/>
          <w:lang w:val="en-US" w:eastAsia="zh-CN"/>
        </w:rPr>
        <w:t>费用</w:t>
      </w:r>
      <w:r>
        <w:rPr>
          <w:rFonts w:hint="eastAsia" w:ascii="宋体" w:hAnsi="宋体" w:cs="宋体"/>
          <w:szCs w:val="21"/>
          <w:highlight w:val="none"/>
        </w:rPr>
        <w:t>每套售价</w:t>
      </w:r>
      <w:r>
        <w:rPr>
          <w:rFonts w:hint="eastAsia" w:ascii="宋体" w:hAnsi="宋体" w:cs="宋体"/>
          <w:szCs w:val="21"/>
          <w:highlight w:val="none"/>
          <w:lang w:val="en-US" w:eastAsia="zh-CN"/>
        </w:rPr>
        <w:t>/元</w:t>
      </w:r>
      <w:r>
        <w:rPr>
          <w:rFonts w:hint="eastAsia" w:ascii="宋体" w:hAnsi="宋体" w:cs="宋体"/>
          <w:szCs w:val="21"/>
          <w:highlight w:val="none"/>
        </w:rPr>
        <w:t>，招标人根据对本合同工程勘察所取得的水文、地质、气象和料场分布、取土场、弃土场位置等资料编制的参考资料每套售价 / 元，售后不退。</w:t>
      </w:r>
    </w:p>
    <w:p w14:paraId="52D978CE">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招标文件费用采用</w:t>
      </w:r>
      <w:r>
        <w:rPr>
          <w:rFonts w:hint="eastAsia" w:ascii="宋体" w:hAnsi="宋体" w:cs="宋体"/>
          <w:szCs w:val="21"/>
          <w:highlight w:val="none"/>
          <w:lang w:val="en-US" w:eastAsia="zh-CN"/>
        </w:rPr>
        <w:t>现金或</w:t>
      </w:r>
      <w:r>
        <w:rPr>
          <w:rFonts w:hint="eastAsia" w:ascii="宋体" w:hAnsi="宋体" w:cs="宋体"/>
          <w:szCs w:val="21"/>
          <w:highlight w:val="none"/>
        </w:rPr>
        <w:t>银行电汇形式，须从投标单位银行账户汇出，电汇时注明项目名称及标段。电汇至：</w:t>
      </w:r>
    </w:p>
    <w:p w14:paraId="484721BF">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户名：中招国际招标有限公司天津分公司</w:t>
      </w:r>
    </w:p>
    <w:p w14:paraId="28DFC0A9">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开户行：中信银行股份有限公司天津红旗路支行</w:t>
      </w:r>
    </w:p>
    <w:p w14:paraId="48B6FC25">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账号：8111401013100320872</w:t>
      </w:r>
    </w:p>
    <w:p w14:paraId="586790F5">
      <w:pPr>
        <w:spacing w:line="420" w:lineRule="exact"/>
        <w:jc w:val="left"/>
        <w:rPr>
          <w:rFonts w:hint="eastAsia" w:ascii="宋体" w:hAnsi="宋体" w:cs="宋体"/>
          <w:b/>
          <w:sz w:val="24"/>
          <w:highlight w:val="none"/>
        </w:rPr>
      </w:pPr>
      <w:r>
        <w:rPr>
          <w:rFonts w:hint="eastAsia" w:ascii="宋体" w:hAnsi="宋体" w:cs="宋体"/>
          <w:b/>
          <w:sz w:val="24"/>
          <w:highlight w:val="none"/>
        </w:rPr>
        <w:t>5．投标文件的递交及相关事宜</w:t>
      </w:r>
      <w:bookmarkEnd w:id="4"/>
      <w:bookmarkEnd w:id="5"/>
    </w:p>
    <w:p w14:paraId="0BB161AC">
      <w:pPr>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5.1招标人将于下列时间和地点组织进行工程现场踏勘并召开投标预备会。</w:t>
      </w:r>
    </w:p>
    <w:p w14:paraId="4B9557BE">
      <w:pPr>
        <w:adjustRightInd w:val="0"/>
        <w:snapToGrid w:val="0"/>
        <w:spacing w:line="420" w:lineRule="exact"/>
        <w:ind w:firstLine="420" w:firstLineChars="200"/>
        <w:jc w:val="left"/>
        <w:rPr>
          <w:rFonts w:hint="eastAsia"/>
          <w:color w:val="000000"/>
          <w:szCs w:val="21"/>
          <w:highlight w:val="none"/>
        </w:rPr>
      </w:pPr>
      <w:r>
        <w:rPr>
          <w:color w:val="000000"/>
          <w:szCs w:val="21"/>
          <w:highlight w:val="none"/>
        </w:rPr>
        <w:t>踏勘现场时间：</w:t>
      </w:r>
      <w:r>
        <w:rPr>
          <w:rFonts w:hint="eastAsia"/>
          <w:color w:val="000000"/>
          <w:szCs w:val="21"/>
          <w:highlight w:val="none"/>
        </w:rPr>
        <w:t>不组织。</w:t>
      </w:r>
    </w:p>
    <w:p w14:paraId="3C2DFA9C">
      <w:pPr>
        <w:adjustRightInd w:val="0"/>
        <w:snapToGrid w:val="0"/>
        <w:spacing w:line="420" w:lineRule="exact"/>
        <w:jc w:val="left"/>
        <w:rPr>
          <w:color w:val="000000"/>
          <w:szCs w:val="21"/>
          <w:highlight w:val="none"/>
        </w:rPr>
      </w:pPr>
      <w:r>
        <w:rPr>
          <w:szCs w:val="21"/>
          <w:highlight w:val="none"/>
        </w:rPr>
        <w:t xml:space="preserve">   </w:t>
      </w:r>
      <w:r>
        <w:rPr>
          <w:rFonts w:hint="eastAsia"/>
          <w:szCs w:val="21"/>
          <w:highlight w:val="none"/>
        </w:rPr>
        <w:t xml:space="preserve"> </w:t>
      </w:r>
      <w:r>
        <w:rPr>
          <w:szCs w:val="21"/>
          <w:highlight w:val="none"/>
        </w:rPr>
        <w:t>投标预备会</w:t>
      </w:r>
      <w:r>
        <w:rPr>
          <w:color w:val="000000"/>
          <w:szCs w:val="21"/>
          <w:highlight w:val="none"/>
        </w:rPr>
        <w:t>时间：不组织。</w:t>
      </w:r>
    </w:p>
    <w:p w14:paraId="2E5B0A68">
      <w:pPr>
        <w:spacing w:line="420" w:lineRule="exact"/>
        <w:ind w:firstLine="420" w:firstLineChars="200"/>
        <w:jc w:val="left"/>
        <w:rPr>
          <w:rFonts w:hint="eastAsia" w:ascii="宋体" w:hAnsi="宋体" w:cs="宋体"/>
          <w:szCs w:val="21"/>
          <w:highlight w:val="none"/>
          <w:u w:val="single"/>
        </w:rPr>
      </w:pPr>
      <w:bookmarkStart w:id="6" w:name="_Toc234348739"/>
      <w:bookmarkStart w:id="7" w:name="_Toc234349313"/>
      <w:r>
        <w:rPr>
          <w:rFonts w:hint="eastAsia" w:ascii="宋体" w:hAnsi="宋体" w:cs="宋体"/>
          <w:szCs w:val="21"/>
          <w:highlight w:val="none"/>
        </w:rPr>
        <w:t>5.2投标文件递交的截止时间（投标截止时间，下同）为</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3</w:t>
      </w:r>
      <w:r>
        <w:rPr>
          <w:rFonts w:hint="eastAsia" w:ascii="宋体" w:hAnsi="宋体" w:cs="宋体"/>
          <w:szCs w:val="21"/>
          <w:highlight w:val="none"/>
        </w:rPr>
        <w:t>年</w:t>
      </w:r>
      <w:r>
        <w:rPr>
          <w:rFonts w:hint="eastAsia" w:ascii="宋体" w:hAnsi="宋体" w:cs="宋体"/>
          <w:szCs w:val="21"/>
          <w:highlight w:val="none"/>
          <w:u w:val="single"/>
          <w:lang w:val="en-US" w:eastAsia="zh-CN"/>
        </w:rPr>
        <w:t>5</w:t>
      </w:r>
      <w:r>
        <w:rPr>
          <w:rFonts w:hint="eastAsia" w:ascii="宋体" w:hAnsi="宋体" w:cs="宋体"/>
          <w:szCs w:val="21"/>
          <w:highlight w:val="none"/>
        </w:rPr>
        <w:t>月</w:t>
      </w:r>
      <w:r>
        <w:rPr>
          <w:rFonts w:hint="eastAsia" w:ascii="宋体" w:hAnsi="宋体" w:cs="宋体"/>
          <w:szCs w:val="21"/>
          <w:highlight w:val="none"/>
          <w:u w:val="single"/>
          <w:lang w:val="en-US" w:eastAsia="zh-CN"/>
        </w:rPr>
        <w:t>18</w:t>
      </w:r>
      <w:r>
        <w:rPr>
          <w:rFonts w:hint="eastAsia" w:ascii="宋体" w:hAnsi="宋体" w:cs="宋体"/>
          <w:szCs w:val="21"/>
          <w:highlight w:val="none"/>
        </w:rPr>
        <w:t>日</w:t>
      </w:r>
      <w:r>
        <w:rPr>
          <w:rFonts w:hint="eastAsia" w:ascii="宋体" w:hAnsi="宋体" w:cs="宋体"/>
          <w:szCs w:val="21"/>
          <w:highlight w:val="none"/>
          <w:u w:val="single"/>
        </w:rPr>
        <w:t>9</w:t>
      </w:r>
      <w:r>
        <w:rPr>
          <w:rFonts w:hint="eastAsia" w:ascii="宋体" w:hAnsi="宋体" w:cs="宋体"/>
          <w:szCs w:val="21"/>
          <w:highlight w:val="none"/>
        </w:rPr>
        <w:t>时</w:t>
      </w:r>
      <w:r>
        <w:rPr>
          <w:rFonts w:hint="eastAsia" w:ascii="宋体" w:hAnsi="宋体" w:cs="宋体"/>
          <w:szCs w:val="21"/>
          <w:highlight w:val="none"/>
          <w:u w:val="single"/>
        </w:rPr>
        <w:t>30</w:t>
      </w:r>
      <w:r>
        <w:rPr>
          <w:rFonts w:hint="eastAsia" w:ascii="宋体" w:hAnsi="宋体" w:cs="宋体"/>
          <w:szCs w:val="21"/>
          <w:highlight w:val="none"/>
        </w:rPr>
        <w:t>分，投标人应于当日</w:t>
      </w:r>
      <w:r>
        <w:rPr>
          <w:rFonts w:hint="eastAsia" w:ascii="宋体" w:hAnsi="宋体" w:cs="宋体"/>
          <w:szCs w:val="21"/>
          <w:highlight w:val="none"/>
          <w:u w:val="single"/>
        </w:rPr>
        <w:t>9</w:t>
      </w:r>
      <w:r>
        <w:rPr>
          <w:rFonts w:hint="eastAsia" w:ascii="宋体" w:hAnsi="宋体" w:cs="宋体"/>
          <w:szCs w:val="21"/>
          <w:highlight w:val="none"/>
        </w:rPr>
        <w:t>时</w:t>
      </w:r>
      <w:r>
        <w:rPr>
          <w:rFonts w:hint="eastAsia" w:ascii="宋体" w:hAnsi="宋体" w:cs="宋体"/>
          <w:szCs w:val="21"/>
          <w:highlight w:val="none"/>
          <w:u w:val="single"/>
        </w:rPr>
        <w:t>00</w:t>
      </w:r>
      <w:r>
        <w:rPr>
          <w:rFonts w:hint="eastAsia" w:ascii="宋体" w:hAnsi="宋体" w:cs="宋体"/>
          <w:szCs w:val="21"/>
          <w:highlight w:val="none"/>
        </w:rPr>
        <w:t>分至</w:t>
      </w:r>
      <w:r>
        <w:rPr>
          <w:rFonts w:hint="eastAsia" w:ascii="宋体" w:hAnsi="宋体" w:cs="宋体"/>
          <w:szCs w:val="21"/>
          <w:highlight w:val="none"/>
          <w:u w:val="single"/>
        </w:rPr>
        <w:t>9</w:t>
      </w:r>
      <w:r>
        <w:rPr>
          <w:rFonts w:hint="eastAsia" w:ascii="宋体" w:hAnsi="宋体" w:cs="宋体"/>
          <w:szCs w:val="21"/>
          <w:highlight w:val="none"/>
        </w:rPr>
        <w:t>时</w:t>
      </w:r>
      <w:r>
        <w:rPr>
          <w:rFonts w:hint="eastAsia" w:ascii="宋体" w:hAnsi="宋体" w:cs="宋体"/>
          <w:szCs w:val="21"/>
          <w:highlight w:val="none"/>
          <w:u w:val="single"/>
        </w:rPr>
        <w:t>30</w:t>
      </w:r>
      <w:r>
        <w:rPr>
          <w:rFonts w:hint="eastAsia" w:ascii="宋体" w:hAnsi="宋体" w:cs="宋体"/>
          <w:szCs w:val="21"/>
          <w:highlight w:val="none"/>
        </w:rPr>
        <w:t>分将投标文件递交至</w:t>
      </w:r>
      <w:r>
        <w:rPr>
          <w:rFonts w:hint="eastAsia" w:ascii="宋体" w:hAnsi="宋体" w:cs="宋体"/>
          <w:szCs w:val="21"/>
          <w:highlight w:val="none"/>
          <w:u w:val="single"/>
        </w:rPr>
        <w:t>天津市政务服务中心二楼第</w:t>
      </w:r>
      <w:r>
        <w:rPr>
          <w:rFonts w:hint="eastAsia" w:ascii="宋体" w:hAnsi="宋体" w:cs="宋体"/>
          <w:szCs w:val="21"/>
          <w:highlight w:val="none"/>
          <w:u w:val="single"/>
          <w:lang w:val="en-US" w:eastAsia="zh-CN"/>
        </w:rPr>
        <w:t>五</w:t>
      </w:r>
      <w:r>
        <w:rPr>
          <w:rFonts w:hint="eastAsia" w:ascii="宋体" w:hAnsi="宋体" w:cs="宋体"/>
          <w:szCs w:val="21"/>
          <w:highlight w:val="none"/>
          <w:u w:val="single"/>
        </w:rPr>
        <w:t>开标室（天津市河东区红星路79号，红星路与卫国道交口顺驰立交桥旁）。</w:t>
      </w:r>
    </w:p>
    <w:p w14:paraId="25C34CAD">
      <w:pPr>
        <w:wordWrap w:val="0"/>
        <w:spacing w:line="42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 xml:space="preserve">5.3逾期送达或寄达或者不按照招标文件要求密封的投标文件，招标人将予以拒收。   </w:t>
      </w:r>
    </w:p>
    <w:p w14:paraId="59714B64">
      <w:pPr>
        <w:spacing w:line="420" w:lineRule="exact"/>
        <w:jc w:val="left"/>
        <w:rPr>
          <w:rFonts w:hint="eastAsia" w:ascii="宋体" w:hAnsi="宋体" w:cs="宋体"/>
          <w:b/>
          <w:sz w:val="24"/>
          <w:highlight w:val="none"/>
        </w:rPr>
      </w:pPr>
      <w:r>
        <w:rPr>
          <w:rFonts w:hint="eastAsia" w:ascii="宋体" w:hAnsi="宋体" w:cs="宋体"/>
          <w:b/>
          <w:sz w:val="24"/>
          <w:highlight w:val="none"/>
        </w:rPr>
        <w:t>6．发布公告的媒介</w:t>
      </w:r>
      <w:bookmarkEnd w:id="6"/>
      <w:bookmarkEnd w:id="7"/>
    </w:p>
    <w:p w14:paraId="1C89A2ED">
      <w:pPr>
        <w:spacing w:line="420" w:lineRule="exact"/>
        <w:ind w:firstLine="420" w:firstLineChars="200"/>
        <w:jc w:val="left"/>
        <w:rPr>
          <w:rFonts w:hint="eastAsia" w:ascii="宋体" w:hAnsi="宋体" w:cs="宋体"/>
          <w:szCs w:val="21"/>
          <w:highlight w:val="none"/>
        </w:rPr>
      </w:pPr>
      <w:bookmarkStart w:id="8" w:name="_Toc322609494"/>
      <w:r>
        <w:rPr>
          <w:rFonts w:hint="eastAsia" w:ascii="宋体" w:hAnsi="宋体" w:cs="宋体"/>
          <w:szCs w:val="21"/>
          <w:highlight w:val="none"/>
        </w:rPr>
        <w:t>本次招标公告同时在</w:t>
      </w:r>
      <w:r>
        <w:rPr>
          <w:rFonts w:hint="eastAsia" w:ascii="宋体" w:hAnsi="宋体" w:cs="宋体"/>
          <w:szCs w:val="21"/>
          <w:highlight w:val="none"/>
          <w:u w:val="single"/>
        </w:rPr>
        <w:t>《天津市公共资源交易网》（http://ggzy.zwfwb.tj.gov.cn/</w:t>
      </w:r>
      <w:bookmarkStart w:id="11" w:name="_GoBack"/>
      <w:bookmarkEnd w:id="11"/>
      <w:r>
        <w:rPr>
          <w:rFonts w:hint="eastAsia" w:ascii="宋体" w:hAnsi="宋体" w:eastAsia="宋体" w:cs="宋体"/>
          <w:szCs w:val="21"/>
          <w:highlight w:val="none"/>
        </w:rPr>
        <w:t>）</w:t>
      </w:r>
      <w:r>
        <w:rPr>
          <w:rFonts w:hint="eastAsia" w:ascii="宋体" w:hAnsi="宋体" w:eastAsia="宋体" w:cs="宋体"/>
          <w:szCs w:val="21"/>
          <w:highlight w:val="none"/>
          <w:lang w:eastAsia="zh-CN"/>
        </w:rPr>
        <w:t>、</w:t>
      </w:r>
      <w:r>
        <w:rPr>
          <w:rFonts w:hint="eastAsia" w:ascii="宋体" w:hAnsi="宋体" w:eastAsia="宋体" w:cs="宋体"/>
          <w:szCs w:val="21"/>
          <w:highlight w:val="none"/>
          <w:u w:val="single"/>
        </w:rPr>
        <w:fldChar w:fldCharType="begin"/>
      </w:r>
      <w:r>
        <w:rPr>
          <w:rFonts w:hint="eastAsia" w:ascii="宋体" w:hAnsi="宋体" w:eastAsia="宋体" w:cs="宋体"/>
          <w:szCs w:val="21"/>
          <w:highlight w:val="none"/>
          <w:u w:val="single"/>
        </w:rPr>
        <w:instrText xml:space="preserve"> HYPERLINK "https://www.tjnh.gov.cn/" </w:instrText>
      </w:r>
      <w:r>
        <w:rPr>
          <w:rFonts w:hint="eastAsia" w:ascii="宋体" w:hAnsi="宋体" w:eastAsia="宋体" w:cs="宋体"/>
          <w:szCs w:val="21"/>
          <w:highlight w:val="none"/>
          <w:u w:val="single"/>
        </w:rPr>
        <w:fldChar w:fldCharType="separate"/>
      </w:r>
      <w:r>
        <w:rPr>
          <w:rFonts w:hint="eastAsia" w:ascii="宋体" w:hAnsi="宋体" w:eastAsia="宋体" w:cs="宋体"/>
          <w:szCs w:val="21"/>
          <w:highlight w:val="none"/>
          <w:u w:val="single"/>
        </w:rPr>
        <w:t>宁河政务网 (</w:t>
      </w:r>
      <w:r>
        <w:rPr>
          <w:rFonts w:hint="eastAsia" w:ascii="宋体" w:hAnsi="宋体" w:cs="宋体"/>
          <w:szCs w:val="21"/>
          <w:highlight w:val="none"/>
          <w:u w:val="single"/>
          <w:lang w:val="en-US" w:eastAsia="zh-CN"/>
        </w:rPr>
        <w:t>www.</w:t>
      </w:r>
      <w:r>
        <w:rPr>
          <w:rFonts w:hint="eastAsia" w:ascii="宋体" w:hAnsi="宋体" w:eastAsia="宋体" w:cs="宋体"/>
          <w:szCs w:val="21"/>
          <w:highlight w:val="none"/>
          <w:u w:val="single"/>
        </w:rPr>
        <w:t>tjnh.gov.cn)</w:t>
      </w:r>
      <w:r>
        <w:rPr>
          <w:rFonts w:hint="eastAsia" w:ascii="宋体" w:hAnsi="宋体" w:eastAsia="宋体" w:cs="宋体"/>
          <w:szCs w:val="21"/>
          <w:highlight w:val="none"/>
          <w:u w:val="single"/>
        </w:rPr>
        <w:fldChar w:fldCharType="end"/>
      </w:r>
      <w:r>
        <w:rPr>
          <w:rFonts w:hint="eastAsia" w:ascii="宋体" w:hAnsi="宋体" w:eastAsia="宋体" w:cs="宋体"/>
          <w:szCs w:val="21"/>
          <w:highlight w:val="none"/>
        </w:rPr>
        <w:t>上</w:t>
      </w:r>
      <w:r>
        <w:rPr>
          <w:rFonts w:hint="eastAsia" w:ascii="宋体" w:hAnsi="宋体" w:cs="宋体"/>
          <w:szCs w:val="21"/>
          <w:highlight w:val="none"/>
        </w:rPr>
        <w:t>发布。</w:t>
      </w:r>
    </w:p>
    <w:p w14:paraId="3040F8E2">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提示：按照《天津市人民政府办公厅关于印发天津市整合建立统一的公共资源交易平台体系实施方案的通知》中统一注册市场主体信息的要求，初次参加投标的投标人需在招标文件发售期间，在天津市公共资源交易网进行注册后，方可购买招标文件进行投标，注册方法可咨询招标代理机构。已进行注册的投标人不需重新注册。</w:t>
      </w:r>
      <w:r>
        <w:rPr>
          <w:rFonts w:hint="eastAsia" w:ascii="宋体" w:hAnsi="宋体" w:cs="宋体"/>
          <w:b/>
          <w:bCs/>
          <w:szCs w:val="21"/>
          <w:highlight w:val="none"/>
        </w:rPr>
        <w:t>所有投标人须在文件获取截止时间前在《天津市公共资源交易网》进行投标确认，未进行投标确认的投标人一切后果自行承担。</w:t>
      </w:r>
    </w:p>
    <w:p w14:paraId="579EC37C">
      <w:pPr>
        <w:spacing w:line="420" w:lineRule="exact"/>
        <w:jc w:val="left"/>
        <w:rPr>
          <w:rFonts w:hint="eastAsia" w:ascii="宋体" w:hAnsi="宋体" w:cs="宋体"/>
          <w:b/>
          <w:sz w:val="24"/>
          <w:highlight w:val="none"/>
        </w:rPr>
      </w:pPr>
      <w:r>
        <w:rPr>
          <w:rFonts w:hint="eastAsia" w:ascii="宋体" w:hAnsi="宋体" w:cs="宋体"/>
          <w:b/>
          <w:sz w:val="24"/>
          <w:highlight w:val="none"/>
        </w:rPr>
        <w:t xml:space="preserve">7. </w:t>
      </w:r>
      <w:bookmarkEnd w:id="8"/>
      <w:r>
        <w:rPr>
          <w:rFonts w:hint="eastAsia" w:ascii="宋体" w:hAnsi="宋体" w:cs="宋体"/>
          <w:b/>
          <w:sz w:val="24"/>
          <w:highlight w:val="none"/>
        </w:rPr>
        <w:t>招标文件关键内容</w:t>
      </w:r>
    </w:p>
    <w:p w14:paraId="129F278F">
      <w:pPr>
        <w:pStyle w:val="6"/>
        <w:adjustRightInd/>
        <w:spacing w:line="420" w:lineRule="exact"/>
        <w:ind w:firstLine="420" w:firstLineChars="200"/>
        <w:rPr>
          <w:rFonts w:hint="eastAsia" w:hAnsi="宋体"/>
          <w:color w:val="auto"/>
          <w:kern w:val="2"/>
          <w:sz w:val="21"/>
          <w:szCs w:val="21"/>
          <w:highlight w:val="none"/>
        </w:rPr>
      </w:pPr>
      <w:r>
        <w:rPr>
          <w:rFonts w:hint="eastAsia" w:hAnsi="宋体"/>
          <w:color w:val="auto"/>
          <w:kern w:val="2"/>
          <w:sz w:val="21"/>
          <w:szCs w:val="21"/>
          <w:highlight w:val="none"/>
        </w:rPr>
        <w:t>另见附件，最终以发售纸质招标文件为准。</w:t>
      </w:r>
    </w:p>
    <w:p w14:paraId="05B40A64">
      <w:pPr>
        <w:spacing w:line="420" w:lineRule="exact"/>
        <w:jc w:val="left"/>
        <w:rPr>
          <w:rFonts w:hint="eastAsia" w:ascii="宋体" w:hAnsi="宋体" w:cs="宋体"/>
          <w:b/>
          <w:sz w:val="24"/>
          <w:highlight w:val="none"/>
        </w:rPr>
      </w:pPr>
      <w:r>
        <w:rPr>
          <w:rFonts w:hint="eastAsia" w:ascii="宋体" w:hAnsi="宋体" w:cs="宋体"/>
          <w:b/>
          <w:sz w:val="24"/>
          <w:highlight w:val="none"/>
        </w:rPr>
        <w:t>8．联系方式</w:t>
      </w:r>
    </w:p>
    <w:tbl>
      <w:tblPr>
        <w:tblStyle w:val="4"/>
        <w:tblW w:w="0" w:type="auto"/>
        <w:tblInd w:w="0" w:type="dxa"/>
        <w:tblLayout w:type="fixed"/>
        <w:tblCellMar>
          <w:top w:w="0" w:type="dxa"/>
          <w:left w:w="108" w:type="dxa"/>
          <w:bottom w:w="0" w:type="dxa"/>
          <w:right w:w="108" w:type="dxa"/>
        </w:tblCellMar>
      </w:tblPr>
      <w:tblGrid>
        <w:gridCol w:w="1137"/>
        <w:gridCol w:w="3540"/>
        <w:gridCol w:w="1560"/>
        <w:gridCol w:w="3465"/>
      </w:tblGrid>
      <w:tr w14:paraId="2444F1E7">
        <w:tblPrEx>
          <w:tblCellMar>
            <w:top w:w="0" w:type="dxa"/>
            <w:left w:w="108" w:type="dxa"/>
            <w:bottom w:w="0" w:type="dxa"/>
            <w:right w:w="108" w:type="dxa"/>
          </w:tblCellMar>
        </w:tblPrEx>
        <w:trPr>
          <w:trHeight w:val="408" w:hRule="atLeast"/>
        </w:trPr>
        <w:tc>
          <w:tcPr>
            <w:tcW w:w="1137" w:type="dxa"/>
            <w:noWrap w:val="0"/>
            <w:vAlign w:val="center"/>
          </w:tcPr>
          <w:p w14:paraId="43DBD45B">
            <w:pPr>
              <w:rPr>
                <w:rFonts w:hint="eastAsia" w:ascii="宋体" w:hAnsi="宋体" w:cs="宋体"/>
                <w:sz w:val="18"/>
                <w:szCs w:val="18"/>
                <w:highlight w:val="none"/>
              </w:rPr>
            </w:pPr>
            <w:bookmarkStart w:id="9" w:name="_Toc234348740"/>
            <w:bookmarkStart w:id="10" w:name="_Toc234349314"/>
            <w:r>
              <w:rPr>
                <w:rFonts w:hint="eastAsia" w:ascii="宋体" w:hAnsi="宋体" w:cs="宋体"/>
                <w:sz w:val="18"/>
                <w:szCs w:val="18"/>
                <w:highlight w:val="none"/>
              </w:rPr>
              <w:t>招标人：</w:t>
            </w:r>
          </w:p>
        </w:tc>
        <w:tc>
          <w:tcPr>
            <w:tcW w:w="3540" w:type="dxa"/>
            <w:noWrap w:val="0"/>
            <w:vAlign w:val="center"/>
          </w:tcPr>
          <w:p w14:paraId="45583DFB">
            <w:pPr>
              <w:rPr>
                <w:rFonts w:hint="eastAsia"/>
                <w:szCs w:val="21"/>
                <w:highlight w:val="none"/>
              </w:rPr>
            </w:pPr>
            <w:r>
              <w:rPr>
                <w:rFonts w:hint="eastAsia" w:ascii="Times New Roman" w:hAnsi="Times New Roman" w:eastAsia="宋体" w:cs="Times New Roman"/>
                <w:sz w:val="18"/>
                <w:szCs w:val="18"/>
                <w:highlight w:val="none"/>
                <w:u w:val="single"/>
              </w:rPr>
              <w:t>天津市宁河区公路养护服务中心</w:t>
            </w:r>
          </w:p>
        </w:tc>
        <w:tc>
          <w:tcPr>
            <w:tcW w:w="1560" w:type="dxa"/>
            <w:noWrap w:val="0"/>
            <w:vAlign w:val="center"/>
          </w:tcPr>
          <w:p w14:paraId="17EAEE2D">
            <w:pPr>
              <w:rPr>
                <w:rFonts w:hint="eastAsia" w:ascii="宋体" w:hAnsi="宋体" w:cs="宋体"/>
                <w:sz w:val="18"/>
                <w:szCs w:val="18"/>
                <w:highlight w:val="none"/>
              </w:rPr>
            </w:pPr>
            <w:r>
              <w:rPr>
                <w:rFonts w:hint="eastAsia" w:ascii="宋体" w:hAnsi="宋体" w:cs="宋体"/>
                <w:sz w:val="18"/>
                <w:szCs w:val="18"/>
                <w:highlight w:val="none"/>
              </w:rPr>
              <w:t>招标代理机构：</w:t>
            </w:r>
          </w:p>
        </w:tc>
        <w:tc>
          <w:tcPr>
            <w:tcW w:w="3465" w:type="dxa"/>
            <w:noWrap w:val="0"/>
            <w:vAlign w:val="center"/>
          </w:tcPr>
          <w:p w14:paraId="1D2E177A">
            <w:pPr>
              <w:rPr>
                <w:rFonts w:hint="default" w:ascii="宋体" w:hAnsi="宋体" w:eastAsia="宋体" w:cs="宋体"/>
                <w:sz w:val="18"/>
                <w:szCs w:val="18"/>
                <w:highlight w:val="none"/>
                <w:lang w:val="en-US" w:eastAsia="zh-CN"/>
              </w:rPr>
            </w:pPr>
            <w:r>
              <w:rPr>
                <w:rFonts w:hint="eastAsia" w:ascii="宋体" w:hAnsi="宋体" w:cs="宋体"/>
                <w:sz w:val="18"/>
                <w:szCs w:val="18"/>
                <w:highlight w:val="none"/>
                <w:lang w:val="en-US" w:eastAsia="zh-CN"/>
              </w:rPr>
              <w:t>中招国际招标有限公司</w:t>
            </w:r>
          </w:p>
        </w:tc>
      </w:tr>
      <w:tr w14:paraId="58280915">
        <w:tblPrEx>
          <w:tblCellMar>
            <w:top w:w="0" w:type="dxa"/>
            <w:left w:w="108" w:type="dxa"/>
            <w:bottom w:w="0" w:type="dxa"/>
            <w:right w:w="108" w:type="dxa"/>
          </w:tblCellMar>
        </w:tblPrEx>
        <w:trPr>
          <w:trHeight w:val="408" w:hRule="atLeast"/>
        </w:trPr>
        <w:tc>
          <w:tcPr>
            <w:tcW w:w="1137" w:type="dxa"/>
            <w:noWrap w:val="0"/>
            <w:vAlign w:val="center"/>
          </w:tcPr>
          <w:p w14:paraId="20F6B5F9">
            <w:pPr>
              <w:rPr>
                <w:rFonts w:hint="eastAsia" w:ascii="宋体" w:hAnsi="宋体" w:cs="宋体"/>
                <w:sz w:val="18"/>
                <w:szCs w:val="18"/>
                <w:highlight w:val="none"/>
              </w:rPr>
            </w:pPr>
            <w:r>
              <w:rPr>
                <w:rFonts w:hint="eastAsia" w:ascii="宋体" w:hAnsi="宋体" w:cs="宋体"/>
                <w:sz w:val="18"/>
                <w:szCs w:val="18"/>
                <w:highlight w:val="none"/>
              </w:rPr>
              <w:t>地  址：</w:t>
            </w:r>
          </w:p>
        </w:tc>
        <w:tc>
          <w:tcPr>
            <w:tcW w:w="3540" w:type="dxa"/>
            <w:noWrap w:val="0"/>
            <w:vAlign w:val="center"/>
          </w:tcPr>
          <w:p w14:paraId="5212A9E4">
            <w:pPr>
              <w:rPr>
                <w:rFonts w:hint="eastAsia"/>
                <w:szCs w:val="21"/>
                <w:highlight w:val="none"/>
              </w:rPr>
            </w:pPr>
            <w:r>
              <w:rPr>
                <w:rFonts w:hint="eastAsia" w:ascii="Times New Roman" w:hAnsi="Times New Roman" w:eastAsia="宋体" w:cs="Times New Roman"/>
                <w:sz w:val="18"/>
                <w:szCs w:val="18"/>
                <w:highlight w:val="none"/>
                <w:u w:val="single"/>
              </w:rPr>
              <w:t>天津市宁河区芦台镇津榆支路104号</w:t>
            </w:r>
          </w:p>
        </w:tc>
        <w:tc>
          <w:tcPr>
            <w:tcW w:w="1560" w:type="dxa"/>
            <w:noWrap w:val="0"/>
            <w:vAlign w:val="center"/>
          </w:tcPr>
          <w:p w14:paraId="2E993770">
            <w:pPr>
              <w:rPr>
                <w:rFonts w:hint="eastAsia" w:ascii="宋体" w:hAnsi="宋体" w:cs="宋体"/>
                <w:sz w:val="18"/>
                <w:szCs w:val="18"/>
                <w:highlight w:val="none"/>
              </w:rPr>
            </w:pPr>
            <w:r>
              <w:rPr>
                <w:rFonts w:hint="eastAsia" w:ascii="宋体" w:hAnsi="宋体" w:cs="宋体"/>
                <w:sz w:val="18"/>
                <w:szCs w:val="18"/>
                <w:highlight w:val="none"/>
              </w:rPr>
              <w:t>地  址：</w:t>
            </w:r>
          </w:p>
        </w:tc>
        <w:tc>
          <w:tcPr>
            <w:tcW w:w="3465" w:type="dxa"/>
            <w:noWrap w:val="0"/>
            <w:vAlign w:val="center"/>
          </w:tcPr>
          <w:p w14:paraId="262C1549">
            <w:pPr>
              <w:rPr>
                <w:rFonts w:hint="eastAsia" w:ascii="宋体" w:hAnsi="宋体" w:cs="宋体"/>
                <w:sz w:val="18"/>
                <w:szCs w:val="18"/>
                <w:highlight w:val="none"/>
              </w:rPr>
            </w:pPr>
            <w:r>
              <w:rPr>
                <w:rFonts w:hint="eastAsia" w:ascii="宋体" w:hAnsi="宋体" w:cs="宋体"/>
                <w:sz w:val="18"/>
                <w:szCs w:val="18"/>
                <w:highlight w:val="none"/>
              </w:rPr>
              <w:t>天津市天津湾写字楼A座8</w:t>
            </w:r>
            <w:r>
              <w:rPr>
                <w:rFonts w:hint="eastAsia" w:ascii="宋体" w:hAnsi="宋体" w:cs="宋体"/>
                <w:sz w:val="18"/>
                <w:szCs w:val="18"/>
                <w:highlight w:val="none"/>
                <w:lang w:val="en-US" w:eastAsia="zh-CN"/>
              </w:rPr>
              <w:t>15</w:t>
            </w:r>
            <w:r>
              <w:rPr>
                <w:rFonts w:hint="eastAsia" w:ascii="宋体" w:hAnsi="宋体" w:cs="宋体"/>
                <w:sz w:val="18"/>
                <w:szCs w:val="18"/>
                <w:highlight w:val="none"/>
              </w:rPr>
              <w:t>室</w:t>
            </w:r>
          </w:p>
        </w:tc>
      </w:tr>
      <w:tr w14:paraId="7178E313">
        <w:tblPrEx>
          <w:tblCellMar>
            <w:top w:w="0" w:type="dxa"/>
            <w:left w:w="108" w:type="dxa"/>
            <w:bottom w:w="0" w:type="dxa"/>
            <w:right w:w="108" w:type="dxa"/>
          </w:tblCellMar>
        </w:tblPrEx>
        <w:trPr>
          <w:trHeight w:val="408" w:hRule="atLeast"/>
        </w:trPr>
        <w:tc>
          <w:tcPr>
            <w:tcW w:w="1137" w:type="dxa"/>
            <w:noWrap w:val="0"/>
            <w:vAlign w:val="center"/>
          </w:tcPr>
          <w:p w14:paraId="72EC5FBB">
            <w:pPr>
              <w:rPr>
                <w:rFonts w:hint="eastAsia" w:ascii="宋体" w:hAnsi="宋体" w:cs="宋体"/>
                <w:sz w:val="18"/>
                <w:szCs w:val="18"/>
                <w:highlight w:val="none"/>
              </w:rPr>
            </w:pPr>
            <w:r>
              <w:rPr>
                <w:rFonts w:hint="eastAsia" w:ascii="宋体" w:hAnsi="宋体" w:cs="宋体"/>
                <w:sz w:val="18"/>
                <w:szCs w:val="18"/>
                <w:highlight w:val="none"/>
              </w:rPr>
              <w:t>邮  编：</w:t>
            </w:r>
          </w:p>
        </w:tc>
        <w:tc>
          <w:tcPr>
            <w:tcW w:w="3540" w:type="dxa"/>
            <w:noWrap w:val="0"/>
            <w:vAlign w:val="center"/>
          </w:tcPr>
          <w:p w14:paraId="19D4E8F6">
            <w:pPr>
              <w:rPr>
                <w:rFonts w:hint="default" w:eastAsia="宋体"/>
                <w:szCs w:val="21"/>
                <w:highlight w:val="none"/>
                <w:u w:val="single"/>
                <w:lang w:val="en-US" w:eastAsia="zh-CN"/>
              </w:rPr>
            </w:pPr>
            <w:r>
              <w:rPr>
                <w:rFonts w:hint="eastAsia" w:ascii="宋体" w:hAnsi="宋体" w:cs="宋体"/>
                <w:sz w:val="18"/>
                <w:szCs w:val="18"/>
                <w:highlight w:val="none"/>
                <w:u w:val="single"/>
              </w:rPr>
              <w:t>30</w:t>
            </w:r>
            <w:r>
              <w:rPr>
                <w:rFonts w:hint="eastAsia" w:ascii="宋体" w:hAnsi="宋体" w:cs="宋体"/>
                <w:sz w:val="18"/>
                <w:szCs w:val="18"/>
                <w:highlight w:val="none"/>
                <w:u w:val="single"/>
                <w:lang w:val="en-US" w:eastAsia="zh-CN"/>
              </w:rPr>
              <w:t>1500</w:t>
            </w:r>
          </w:p>
        </w:tc>
        <w:tc>
          <w:tcPr>
            <w:tcW w:w="1560" w:type="dxa"/>
            <w:noWrap w:val="0"/>
            <w:vAlign w:val="center"/>
          </w:tcPr>
          <w:p w14:paraId="07E20380">
            <w:pPr>
              <w:rPr>
                <w:rFonts w:hint="eastAsia" w:ascii="宋体" w:hAnsi="宋体" w:cs="宋体"/>
                <w:sz w:val="18"/>
                <w:szCs w:val="18"/>
                <w:highlight w:val="none"/>
              </w:rPr>
            </w:pPr>
            <w:r>
              <w:rPr>
                <w:rFonts w:hint="eastAsia" w:ascii="宋体" w:hAnsi="宋体" w:cs="宋体"/>
                <w:sz w:val="18"/>
                <w:szCs w:val="18"/>
                <w:highlight w:val="none"/>
              </w:rPr>
              <w:t>邮  编：</w:t>
            </w:r>
          </w:p>
        </w:tc>
        <w:tc>
          <w:tcPr>
            <w:tcW w:w="3465" w:type="dxa"/>
            <w:noWrap w:val="0"/>
            <w:vAlign w:val="center"/>
          </w:tcPr>
          <w:p w14:paraId="3C8C76DC">
            <w:pPr>
              <w:rPr>
                <w:rFonts w:hint="default" w:ascii="宋体" w:hAnsi="宋体" w:eastAsia="宋体" w:cs="宋体"/>
                <w:sz w:val="18"/>
                <w:szCs w:val="18"/>
                <w:highlight w:val="none"/>
                <w:lang w:val="en-US" w:eastAsia="zh-CN"/>
              </w:rPr>
            </w:pPr>
            <w:r>
              <w:rPr>
                <w:rFonts w:hint="eastAsia" w:ascii="宋体" w:hAnsi="宋体" w:cs="宋体"/>
                <w:sz w:val="18"/>
                <w:szCs w:val="18"/>
                <w:highlight w:val="none"/>
                <w:u w:val="single"/>
              </w:rPr>
              <w:t>3000</w:t>
            </w:r>
            <w:r>
              <w:rPr>
                <w:rFonts w:hint="eastAsia" w:ascii="宋体" w:hAnsi="宋体" w:cs="宋体"/>
                <w:sz w:val="18"/>
                <w:szCs w:val="18"/>
                <w:highlight w:val="none"/>
                <w:u w:val="single"/>
                <w:lang w:val="en-US" w:eastAsia="zh-CN"/>
              </w:rPr>
              <w:t>00</w:t>
            </w:r>
          </w:p>
        </w:tc>
      </w:tr>
      <w:tr w14:paraId="078DCEE3">
        <w:tblPrEx>
          <w:tblCellMar>
            <w:top w:w="0" w:type="dxa"/>
            <w:left w:w="108" w:type="dxa"/>
            <w:bottom w:w="0" w:type="dxa"/>
            <w:right w:w="108" w:type="dxa"/>
          </w:tblCellMar>
        </w:tblPrEx>
        <w:trPr>
          <w:trHeight w:val="408" w:hRule="atLeast"/>
        </w:trPr>
        <w:tc>
          <w:tcPr>
            <w:tcW w:w="1137" w:type="dxa"/>
            <w:noWrap w:val="0"/>
            <w:vAlign w:val="center"/>
          </w:tcPr>
          <w:p w14:paraId="2003DF5F">
            <w:pPr>
              <w:rPr>
                <w:rFonts w:hint="eastAsia" w:ascii="宋体" w:hAnsi="宋体" w:cs="宋体"/>
                <w:sz w:val="18"/>
                <w:szCs w:val="18"/>
                <w:highlight w:val="none"/>
              </w:rPr>
            </w:pPr>
            <w:r>
              <w:rPr>
                <w:rFonts w:hint="eastAsia" w:ascii="宋体" w:hAnsi="宋体" w:cs="宋体"/>
                <w:sz w:val="18"/>
                <w:szCs w:val="18"/>
                <w:highlight w:val="none"/>
              </w:rPr>
              <w:t>联系人：</w:t>
            </w:r>
          </w:p>
        </w:tc>
        <w:tc>
          <w:tcPr>
            <w:tcW w:w="3540" w:type="dxa"/>
            <w:noWrap w:val="0"/>
            <w:vAlign w:val="center"/>
          </w:tcPr>
          <w:p w14:paraId="4BECA5DB">
            <w:pPr>
              <w:adjustRightInd w:val="0"/>
              <w:snapToGrid w:val="0"/>
              <w:rPr>
                <w:rFonts w:hint="eastAsia" w:eastAsia="宋体"/>
                <w:szCs w:val="21"/>
                <w:highlight w:val="none"/>
                <w:lang w:eastAsia="zh-CN"/>
              </w:rPr>
            </w:pPr>
            <w:r>
              <w:rPr>
                <w:rFonts w:hint="eastAsia"/>
                <w:sz w:val="18"/>
                <w:szCs w:val="18"/>
                <w:highlight w:val="none"/>
                <w:u w:val="single"/>
                <w:lang w:val="en-US" w:eastAsia="zh-CN"/>
              </w:rPr>
              <w:t>刘虎生</w:t>
            </w:r>
          </w:p>
        </w:tc>
        <w:tc>
          <w:tcPr>
            <w:tcW w:w="1560" w:type="dxa"/>
            <w:noWrap w:val="0"/>
            <w:vAlign w:val="center"/>
          </w:tcPr>
          <w:p w14:paraId="3BBB0387">
            <w:pPr>
              <w:rPr>
                <w:rFonts w:hint="eastAsia" w:ascii="宋体" w:hAnsi="宋体" w:cs="宋体"/>
                <w:sz w:val="18"/>
                <w:szCs w:val="18"/>
                <w:highlight w:val="none"/>
              </w:rPr>
            </w:pPr>
            <w:r>
              <w:rPr>
                <w:rFonts w:hint="eastAsia" w:ascii="宋体" w:hAnsi="宋体" w:cs="宋体"/>
                <w:sz w:val="18"/>
                <w:szCs w:val="18"/>
                <w:highlight w:val="none"/>
              </w:rPr>
              <w:t>联系人：</w:t>
            </w:r>
          </w:p>
        </w:tc>
        <w:tc>
          <w:tcPr>
            <w:tcW w:w="3465" w:type="dxa"/>
            <w:noWrap w:val="0"/>
            <w:vAlign w:val="center"/>
          </w:tcPr>
          <w:p w14:paraId="1A9013D8">
            <w:pPr>
              <w:rPr>
                <w:rFonts w:hint="default" w:ascii="宋体" w:hAnsi="宋体" w:eastAsia="宋体" w:cs="宋体"/>
                <w:sz w:val="18"/>
                <w:szCs w:val="18"/>
                <w:highlight w:val="none"/>
                <w:lang w:val="en-US" w:eastAsia="zh-CN"/>
              </w:rPr>
            </w:pPr>
            <w:r>
              <w:rPr>
                <w:rFonts w:hint="eastAsia" w:ascii="宋体" w:hAnsi="宋体" w:cs="宋体"/>
                <w:sz w:val="18"/>
                <w:szCs w:val="18"/>
                <w:highlight w:val="none"/>
                <w:u w:val="single"/>
                <w:lang w:val="en-US" w:eastAsia="zh-CN"/>
              </w:rPr>
              <w:t>庞工、王工</w:t>
            </w:r>
          </w:p>
        </w:tc>
      </w:tr>
      <w:tr w14:paraId="2D62BE59">
        <w:tblPrEx>
          <w:tblCellMar>
            <w:top w:w="0" w:type="dxa"/>
            <w:left w:w="108" w:type="dxa"/>
            <w:bottom w:w="0" w:type="dxa"/>
            <w:right w:w="108" w:type="dxa"/>
          </w:tblCellMar>
        </w:tblPrEx>
        <w:trPr>
          <w:trHeight w:val="408" w:hRule="atLeast"/>
        </w:trPr>
        <w:tc>
          <w:tcPr>
            <w:tcW w:w="1137" w:type="dxa"/>
            <w:noWrap w:val="0"/>
            <w:vAlign w:val="center"/>
          </w:tcPr>
          <w:p w14:paraId="6E91411F">
            <w:pPr>
              <w:rPr>
                <w:rFonts w:hint="eastAsia" w:ascii="宋体" w:hAnsi="宋体" w:cs="宋体"/>
                <w:sz w:val="18"/>
                <w:szCs w:val="18"/>
                <w:highlight w:val="none"/>
                <w:u w:val="single"/>
              </w:rPr>
            </w:pPr>
            <w:r>
              <w:rPr>
                <w:rFonts w:hint="eastAsia" w:ascii="宋体" w:hAnsi="宋体" w:cs="宋体"/>
                <w:sz w:val="18"/>
                <w:szCs w:val="18"/>
                <w:highlight w:val="none"/>
              </w:rPr>
              <w:t>电  话：</w:t>
            </w:r>
          </w:p>
        </w:tc>
        <w:tc>
          <w:tcPr>
            <w:tcW w:w="3540" w:type="dxa"/>
            <w:noWrap w:val="0"/>
            <w:vAlign w:val="center"/>
          </w:tcPr>
          <w:p w14:paraId="67AE298F">
            <w:pPr>
              <w:rPr>
                <w:rFonts w:hint="eastAsia" w:ascii="宋体" w:hAnsi="宋体" w:eastAsia="宋体" w:cs="宋体"/>
                <w:sz w:val="18"/>
                <w:szCs w:val="18"/>
                <w:highlight w:val="none"/>
                <w:u w:val="single"/>
                <w:lang w:eastAsia="zh-CN"/>
              </w:rPr>
            </w:pPr>
            <w:r>
              <w:rPr>
                <w:rFonts w:hint="eastAsia" w:ascii="宋体" w:hAnsi="宋体" w:eastAsia="宋体" w:cs="宋体"/>
                <w:sz w:val="18"/>
                <w:szCs w:val="18"/>
                <w:highlight w:val="none"/>
                <w:u w:val="single"/>
                <w:lang w:eastAsia="zh-CN"/>
              </w:rPr>
              <w:t>022-69591500</w:t>
            </w:r>
          </w:p>
        </w:tc>
        <w:tc>
          <w:tcPr>
            <w:tcW w:w="1560" w:type="dxa"/>
            <w:noWrap w:val="0"/>
            <w:vAlign w:val="center"/>
          </w:tcPr>
          <w:p w14:paraId="5FA5555F">
            <w:pPr>
              <w:rPr>
                <w:rFonts w:hint="eastAsia" w:ascii="宋体" w:hAnsi="宋体" w:cs="宋体"/>
                <w:sz w:val="18"/>
                <w:szCs w:val="18"/>
                <w:highlight w:val="none"/>
              </w:rPr>
            </w:pPr>
            <w:r>
              <w:rPr>
                <w:rFonts w:hint="eastAsia" w:ascii="宋体" w:hAnsi="宋体" w:cs="宋体"/>
                <w:sz w:val="18"/>
                <w:szCs w:val="18"/>
                <w:highlight w:val="none"/>
              </w:rPr>
              <w:t>电  话：</w:t>
            </w:r>
          </w:p>
        </w:tc>
        <w:tc>
          <w:tcPr>
            <w:tcW w:w="3465" w:type="dxa"/>
            <w:noWrap w:val="0"/>
            <w:vAlign w:val="center"/>
          </w:tcPr>
          <w:p w14:paraId="14510875">
            <w:pPr>
              <w:rPr>
                <w:rFonts w:hint="default" w:ascii="宋体" w:hAnsi="宋体" w:eastAsia="宋体" w:cs="宋体"/>
                <w:sz w:val="18"/>
                <w:szCs w:val="18"/>
                <w:highlight w:val="none"/>
                <w:lang w:val="en-US" w:eastAsia="zh-CN"/>
              </w:rPr>
            </w:pPr>
            <w:r>
              <w:rPr>
                <w:rFonts w:hint="eastAsia" w:ascii="宋体" w:hAnsi="宋体" w:eastAsia="宋体" w:cs="宋体"/>
                <w:sz w:val="18"/>
                <w:szCs w:val="18"/>
                <w:highlight w:val="none"/>
                <w:u w:val="single"/>
                <w:lang w:val="en-US" w:eastAsia="zh-CN"/>
              </w:rPr>
              <w:t>17622672595、19917765426</w:t>
            </w:r>
          </w:p>
        </w:tc>
      </w:tr>
      <w:tr w14:paraId="65CC60AA">
        <w:tblPrEx>
          <w:tblCellMar>
            <w:top w:w="0" w:type="dxa"/>
            <w:left w:w="108" w:type="dxa"/>
            <w:bottom w:w="0" w:type="dxa"/>
            <w:right w:w="108" w:type="dxa"/>
          </w:tblCellMar>
        </w:tblPrEx>
        <w:trPr>
          <w:trHeight w:val="408" w:hRule="atLeast"/>
        </w:trPr>
        <w:tc>
          <w:tcPr>
            <w:tcW w:w="1137" w:type="dxa"/>
            <w:noWrap w:val="0"/>
            <w:vAlign w:val="center"/>
          </w:tcPr>
          <w:p w14:paraId="415C4976">
            <w:pPr>
              <w:rPr>
                <w:rFonts w:hint="eastAsia" w:ascii="宋体" w:hAnsi="宋体" w:cs="宋体"/>
                <w:sz w:val="18"/>
                <w:szCs w:val="18"/>
                <w:highlight w:val="none"/>
              </w:rPr>
            </w:pPr>
            <w:r>
              <w:rPr>
                <w:rFonts w:hint="eastAsia" w:ascii="宋体" w:hAnsi="宋体" w:cs="宋体"/>
                <w:sz w:val="18"/>
                <w:szCs w:val="18"/>
                <w:highlight w:val="none"/>
              </w:rPr>
              <w:t>传  真：</w:t>
            </w:r>
          </w:p>
        </w:tc>
        <w:tc>
          <w:tcPr>
            <w:tcW w:w="3540" w:type="dxa"/>
            <w:noWrap w:val="0"/>
            <w:vAlign w:val="center"/>
          </w:tcPr>
          <w:p w14:paraId="1D049F7C">
            <w:pPr>
              <w:adjustRightInd w:val="0"/>
              <w:snapToGrid w:val="0"/>
              <w:rPr>
                <w:rFonts w:hint="eastAsia"/>
                <w:sz w:val="18"/>
                <w:szCs w:val="18"/>
                <w:highlight w:val="none"/>
                <w:u w:val="single"/>
              </w:rPr>
            </w:pPr>
            <w:r>
              <w:rPr>
                <w:rFonts w:hint="eastAsia"/>
                <w:sz w:val="18"/>
                <w:szCs w:val="18"/>
                <w:highlight w:val="none"/>
                <w:u w:val="single"/>
              </w:rPr>
              <w:t>/</w:t>
            </w:r>
          </w:p>
        </w:tc>
        <w:tc>
          <w:tcPr>
            <w:tcW w:w="1560" w:type="dxa"/>
            <w:noWrap w:val="0"/>
            <w:vAlign w:val="center"/>
          </w:tcPr>
          <w:p w14:paraId="32BBBC94">
            <w:pPr>
              <w:rPr>
                <w:rFonts w:hint="eastAsia" w:ascii="宋体" w:hAnsi="宋体" w:cs="宋体"/>
                <w:sz w:val="18"/>
                <w:szCs w:val="18"/>
                <w:highlight w:val="none"/>
              </w:rPr>
            </w:pPr>
            <w:r>
              <w:rPr>
                <w:rFonts w:hint="eastAsia" w:ascii="宋体" w:hAnsi="宋体" w:cs="宋体"/>
                <w:sz w:val="18"/>
                <w:szCs w:val="18"/>
                <w:highlight w:val="none"/>
              </w:rPr>
              <w:t>传  真：</w:t>
            </w:r>
          </w:p>
        </w:tc>
        <w:tc>
          <w:tcPr>
            <w:tcW w:w="3465" w:type="dxa"/>
            <w:noWrap w:val="0"/>
            <w:vAlign w:val="center"/>
          </w:tcPr>
          <w:p w14:paraId="2F820047">
            <w:pPr>
              <w:rPr>
                <w:rFonts w:hint="eastAsia" w:ascii="宋体" w:hAnsi="宋体" w:cs="宋体"/>
                <w:sz w:val="18"/>
                <w:szCs w:val="18"/>
                <w:highlight w:val="none"/>
              </w:rPr>
            </w:pPr>
            <w:r>
              <w:rPr>
                <w:rFonts w:hint="eastAsia" w:ascii="宋体" w:hAnsi="宋体" w:cs="宋体"/>
                <w:sz w:val="18"/>
                <w:szCs w:val="18"/>
                <w:highlight w:val="none"/>
                <w:u w:val="single"/>
              </w:rPr>
              <w:t>022-</w:t>
            </w:r>
            <w:r>
              <w:rPr>
                <w:rFonts w:hint="eastAsia" w:ascii="宋体" w:hAnsi="宋体" w:cs="宋体"/>
                <w:sz w:val="18"/>
                <w:szCs w:val="18"/>
                <w:highlight w:val="none"/>
                <w:u w:val="single"/>
                <w:lang w:val="en-US" w:eastAsia="zh-CN"/>
              </w:rPr>
              <w:t>88238595</w:t>
            </w:r>
          </w:p>
        </w:tc>
      </w:tr>
      <w:tr w14:paraId="465E687E">
        <w:tblPrEx>
          <w:tblCellMar>
            <w:top w:w="0" w:type="dxa"/>
            <w:left w:w="108" w:type="dxa"/>
            <w:bottom w:w="0" w:type="dxa"/>
            <w:right w:w="108" w:type="dxa"/>
          </w:tblCellMar>
        </w:tblPrEx>
        <w:trPr>
          <w:trHeight w:val="408" w:hRule="atLeast"/>
        </w:trPr>
        <w:tc>
          <w:tcPr>
            <w:tcW w:w="1137" w:type="dxa"/>
            <w:noWrap w:val="0"/>
            <w:vAlign w:val="center"/>
          </w:tcPr>
          <w:p w14:paraId="65FE4806">
            <w:pPr>
              <w:rPr>
                <w:rFonts w:hint="eastAsia" w:ascii="宋体" w:hAnsi="宋体" w:cs="宋体"/>
                <w:sz w:val="18"/>
                <w:szCs w:val="18"/>
                <w:highlight w:val="none"/>
              </w:rPr>
            </w:pPr>
            <w:r>
              <w:rPr>
                <w:rFonts w:hint="eastAsia" w:ascii="宋体" w:hAnsi="宋体" w:cs="宋体"/>
                <w:sz w:val="18"/>
                <w:szCs w:val="18"/>
                <w:highlight w:val="none"/>
              </w:rPr>
              <w:t>电子邮件：</w:t>
            </w:r>
          </w:p>
        </w:tc>
        <w:tc>
          <w:tcPr>
            <w:tcW w:w="3540" w:type="dxa"/>
            <w:noWrap w:val="0"/>
            <w:vAlign w:val="center"/>
          </w:tcPr>
          <w:p w14:paraId="1A225130">
            <w:pPr>
              <w:adjustRightInd w:val="0"/>
              <w:snapToGrid w:val="0"/>
              <w:rPr>
                <w:rFonts w:hint="eastAsia"/>
                <w:sz w:val="18"/>
                <w:szCs w:val="18"/>
                <w:highlight w:val="none"/>
                <w:u w:val="single"/>
              </w:rPr>
            </w:pPr>
            <w:r>
              <w:rPr>
                <w:rFonts w:hint="eastAsia"/>
                <w:sz w:val="18"/>
                <w:szCs w:val="18"/>
                <w:highlight w:val="none"/>
                <w:u w:val="single"/>
              </w:rPr>
              <w:t>/</w:t>
            </w:r>
          </w:p>
        </w:tc>
        <w:tc>
          <w:tcPr>
            <w:tcW w:w="1560" w:type="dxa"/>
            <w:noWrap w:val="0"/>
            <w:vAlign w:val="center"/>
          </w:tcPr>
          <w:p w14:paraId="64E64BFB">
            <w:pPr>
              <w:rPr>
                <w:rFonts w:hint="eastAsia" w:ascii="宋体" w:hAnsi="宋体" w:cs="宋体"/>
                <w:sz w:val="18"/>
                <w:szCs w:val="18"/>
                <w:highlight w:val="none"/>
              </w:rPr>
            </w:pPr>
            <w:r>
              <w:rPr>
                <w:rFonts w:hint="eastAsia" w:ascii="宋体" w:hAnsi="宋体" w:cs="宋体"/>
                <w:sz w:val="18"/>
                <w:szCs w:val="18"/>
                <w:highlight w:val="none"/>
              </w:rPr>
              <w:t>电子邮件：</w:t>
            </w:r>
          </w:p>
        </w:tc>
        <w:tc>
          <w:tcPr>
            <w:tcW w:w="3465" w:type="dxa"/>
            <w:noWrap w:val="0"/>
            <w:vAlign w:val="center"/>
          </w:tcPr>
          <w:p w14:paraId="6D4E0FFA">
            <w:pPr>
              <w:rPr>
                <w:rFonts w:hint="eastAsia" w:ascii="宋体" w:hAnsi="宋体" w:cs="宋体"/>
                <w:sz w:val="18"/>
                <w:szCs w:val="18"/>
                <w:highlight w:val="none"/>
                <w:u w:val="single"/>
              </w:rPr>
            </w:pPr>
            <w:r>
              <w:rPr>
                <w:rFonts w:hint="eastAsia" w:ascii="宋体" w:hAnsi="宋体" w:cs="宋体"/>
                <w:sz w:val="18"/>
                <w:szCs w:val="18"/>
                <w:highlight w:val="none"/>
                <w:u w:val="single"/>
              </w:rPr>
              <w:t>chenchen02@cntcitc.com.cn</w:t>
            </w:r>
          </w:p>
        </w:tc>
      </w:tr>
      <w:tr w14:paraId="4C4F4142">
        <w:tblPrEx>
          <w:tblCellMar>
            <w:top w:w="0" w:type="dxa"/>
            <w:left w:w="108" w:type="dxa"/>
            <w:bottom w:w="0" w:type="dxa"/>
            <w:right w:w="108" w:type="dxa"/>
          </w:tblCellMar>
        </w:tblPrEx>
        <w:trPr>
          <w:trHeight w:val="408" w:hRule="atLeast"/>
        </w:trPr>
        <w:tc>
          <w:tcPr>
            <w:tcW w:w="1137" w:type="dxa"/>
            <w:noWrap w:val="0"/>
            <w:vAlign w:val="center"/>
          </w:tcPr>
          <w:p w14:paraId="75EF5E55">
            <w:pPr>
              <w:rPr>
                <w:rFonts w:hint="eastAsia" w:ascii="宋体" w:hAnsi="宋体" w:cs="宋体"/>
                <w:sz w:val="18"/>
                <w:szCs w:val="18"/>
                <w:highlight w:val="none"/>
              </w:rPr>
            </w:pPr>
            <w:r>
              <w:rPr>
                <w:rFonts w:hint="eastAsia" w:ascii="宋体" w:hAnsi="宋体" w:cs="宋体"/>
                <w:sz w:val="18"/>
                <w:szCs w:val="18"/>
                <w:highlight w:val="none"/>
              </w:rPr>
              <w:t>网  址：</w:t>
            </w:r>
          </w:p>
        </w:tc>
        <w:tc>
          <w:tcPr>
            <w:tcW w:w="3540" w:type="dxa"/>
            <w:noWrap w:val="0"/>
            <w:vAlign w:val="center"/>
          </w:tcPr>
          <w:p w14:paraId="2623EE5D">
            <w:pPr>
              <w:adjustRightInd w:val="0"/>
              <w:snapToGrid w:val="0"/>
              <w:rPr>
                <w:rFonts w:hint="eastAsia"/>
                <w:sz w:val="18"/>
                <w:szCs w:val="18"/>
                <w:highlight w:val="none"/>
                <w:u w:val="single"/>
              </w:rPr>
            </w:pPr>
            <w:r>
              <w:rPr>
                <w:sz w:val="18"/>
                <w:szCs w:val="18"/>
                <w:highlight w:val="none"/>
                <w:u w:val="single"/>
              </w:rPr>
              <w:t>/</w:t>
            </w:r>
          </w:p>
        </w:tc>
        <w:tc>
          <w:tcPr>
            <w:tcW w:w="1560" w:type="dxa"/>
            <w:noWrap w:val="0"/>
            <w:vAlign w:val="center"/>
          </w:tcPr>
          <w:p w14:paraId="5310EF7D">
            <w:pPr>
              <w:rPr>
                <w:rFonts w:hint="eastAsia" w:ascii="宋体" w:hAnsi="宋体" w:cs="宋体"/>
                <w:sz w:val="18"/>
                <w:szCs w:val="18"/>
                <w:highlight w:val="none"/>
              </w:rPr>
            </w:pPr>
            <w:r>
              <w:rPr>
                <w:rFonts w:hint="eastAsia" w:ascii="宋体" w:hAnsi="宋体" w:cs="宋体"/>
                <w:sz w:val="18"/>
                <w:szCs w:val="18"/>
                <w:highlight w:val="none"/>
              </w:rPr>
              <w:t>网  址：</w:t>
            </w:r>
          </w:p>
        </w:tc>
        <w:tc>
          <w:tcPr>
            <w:tcW w:w="3465" w:type="dxa"/>
            <w:noWrap w:val="0"/>
            <w:vAlign w:val="center"/>
          </w:tcPr>
          <w:p w14:paraId="74BA2958">
            <w:pPr>
              <w:rPr>
                <w:rFonts w:hint="eastAsia" w:ascii="宋体" w:hAnsi="宋体" w:cs="宋体"/>
                <w:sz w:val="18"/>
                <w:szCs w:val="18"/>
                <w:highlight w:val="none"/>
                <w:u w:val="single"/>
              </w:rPr>
            </w:pPr>
            <w:r>
              <w:rPr>
                <w:rFonts w:hint="eastAsia" w:ascii="宋体" w:hAnsi="宋体" w:cs="宋体"/>
                <w:sz w:val="18"/>
                <w:szCs w:val="18"/>
                <w:highlight w:val="none"/>
                <w:u w:val="single"/>
              </w:rPr>
              <w:t>https://www.cntcitc.com.cn/</w:t>
            </w:r>
          </w:p>
        </w:tc>
      </w:tr>
      <w:tr w14:paraId="59B75B43">
        <w:tblPrEx>
          <w:tblCellMar>
            <w:top w:w="0" w:type="dxa"/>
            <w:left w:w="108" w:type="dxa"/>
            <w:bottom w:w="0" w:type="dxa"/>
            <w:right w:w="108" w:type="dxa"/>
          </w:tblCellMar>
        </w:tblPrEx>
        <w:trPr>
          <w:trHeight w:val="408" w:hRule="atLeast"/>
        </w:trPr>
        <w:tc>
          <w:tcPr>
            <w:tcW w:w="1137" w:type="dxa"/>
            <w:noWrap w:val="0"/>
            <w:vAlign w:val="center"/>
          </w:tcPr>
          <w:p w14:paraId="3AAC70CC">
            <w:pPr>
              <w:rPr>
                <w:rFonts w:hint="eastAsia" w:ascii="宋体" w:hAnsi="宋体" w:cs="宋体"/>
                <w:sz w:val="18"/>
                <w:szCs w:val="18"/>
                <w:highlight w:val="none"/>
              </w:rPr>
            </w:pPr>
            <w:r>
              <w:rPr>
                <w:rFonts w:hint="eastAsia" w:ascii="宋体" w:hAnsi="宋体" w:cs="宋体"/>
                <w:sz w:val="18"/>
                <w:szCs w:val="18"/>
                <w:highlight w:val="none"/>
              </w:rPr>
              <w:t>开户银行：</w:t>
            </w:r>
          </w:p>
        </w:tc>
        <w:tc>
          <w:tcPr>
            <w:tcW w:w="3540" w:type="dxa"/>
            <w:noWrap w:val="0"/>
            <w:vAlign w:val="center"/>
          </w:tcPr>
          <w:p w14:paraId="5F95644D">
            <w:pPr>
              <w:adjustRightInd w:val="0"/>
              <w:snapToGrid w:val="0"/>
              <w:rPr>
                <w:rFonts w:hint="eastAsia"/>
                <w:sz w:val="18"/>
                <w:szCs w:val="18"/>
                <w:highlight w:val="none"/>
                <w:u w:val="single"/>
              </w:rPr>
            </w:pPr>
            <w:r>
              <w:rPr>
                <w:rFonts w:hint="eastAsia"/>
                <w:sz w:val="18"/>
                <w:szCs w:val="18"/>
                <w:highlight w:val="none"/>
                <w:u w:val="single"/>
              </w:rPr>
              <w:t>/</w:t>
            </w:r>
          </w:p>
        </w:tc>
        <w:tc>
          <w:tcPr>
            <w:tcW w:w="1560" w:type="dxa"/>
            <w:noWrap w:val="0"/>
            <w:vAlign w:val="center"/>
          </w:tcPr>
          <w:p w14:paraId="41637ADB">
            <w:pPr>
              <w:rPr>
                <w:rFonts w:hint="eastAsia" w:ascii="宋体" w:hAnsi="宋体" w:cs="宋体"/>
                <w:sz w:val="18"/>
                <w:szCs w:val="18"/>
                <w:highlight w:val="none"/>
              </w:rPr>
            </w:pPr>
            <w:r>
              <w:rPr>
                <w:rFonts w:hint="eastAsia" w:ascii="宋体" w:hAnsi="宋体" w:cs="宋体"/>
                <w:sz w:val="18"/>
                <w:szCs w:val="18"/>
                <w:highlight w:val="none"/>
              </w:rPr>
              <w:t>开户银行：</w:t>
            </w:r>
          </w:p>
        </w:tc>
        <w:tc>
          <w:tcPr>
            <w:tcW w:w="3465" w:type="dxa"/>
            <w:noWrap w:val="0"/>
            <w:vAlign w:val="center"/>
          </w:tcPr>
          <w:p w14:paraId="6D7B820A">
            <w:pPr>
              <w:rPr>
                <w:rFonts w:hint="eastAsia" w:ascii="宋体" w:hAnsi="宋体" w:cs="宋体"/>
                <w:sz w:val="18"/>
                <w:szCs w:val="18"/>
                <w:highlight w:val="none"/>
                <w:u w:val="single"/>
              </w:rPr>
            </w:pPr>
            <w:r>
              <w:rPr>
                <w:rFonts w:hint="eastAsia" w:ascii="宋体" w:hAnsi="宋体" w:cs="宋体"/>
                <w:sz w:val="18"/>
                <w:szCs w:val="18"/>
                <w:highlight w:val="none"/>
                <w:u w:val="single"/>
              </w:rPr>
              <w:t>中信银行股份有限公司天津红旗路支行</w:t>
            </w:r>
          </w:p>
        </w:tc>
      </w:tr>
      <w:tr w14:paraId="5D138A34">
        <w:tblPrEx>
          <w:tblCellMar>
            <w:top w:w="0" w:type="dxa"/>
            <w:left w:w="108" w:type="dxa"/>
            <w:bottom w:w="0" w:type="dxa"/>
            <w:right w:w="108" w:type="dxa"/>
          </w:tblCellMar>
        </w:tblPrEx>
        <w:trPr>
          <w:trHeight w:val="408" w:hRule="atLeast"/>
        </w:trPr>
        <w:tc>
          <w:tcPr>
            <w:tcW w:w="1137" w:type="dxa"/>
            <w:noWrap w:val="0"/>
            <w:vAlign w:val="center"/>
          </w:tcPr>
          <w:p w14:paraId="5EB42788">
            <w:pPr>
              <w:rPr>
                <w:rFonts w:hint="eastAsia" w:ascii="宋体" w:hAnsi="宋体" w:cs="宋体"/>
                <w:sz w:val="18"/>
                <w:szCs w:val="18"/>
                <w:highlight w:val="none"/>
              </w:rPr>
            </w:pPr>
            <w:r>
              <w:rPr>
                <w:rFonts w:hint="eastAsia" w:ascii="宋体" w:hAnsi="宋体" w:cs="宋体"/>
                <w:sz w:val="18"/>
                <w:szCs w:val="18"/>
                <w:highlight w:val="none"/>
              </w:rPr>
              <w:t>账  号：</w:t>
            </w:r>
          </w:p>
        </w:tc>
        <w:tc>
          <w:tcPr>
            <w:tcW w:w="3540" w:type="dxa"/>
            <w:noWrap w:val="0"/>
            <w:vAlign w:val="center"/>
          </w:tcPr>
          <w:p w14:paraId="066A0BE1">
            <w:pPr>
              <w:adjustRightInd w:val="0"/>
              <w:snapToGrid w:val="0"/>
              <w:rPr>
                <w:rFonts w:hint="eastAsia"/>
                <w:sz w:val="18"/>
                <w:szCs w:val="18"/>
                <w:highlight w:val="none"/>
                <w:u w:val="single"/>
              </w:rPr>
            </w:pPr>
            <w:r>
              <w:rPr>
                <w:rFonts w:hint="eastAsia"/>
                <w:sz w:val="18"/>
                <w:szCs w:val="18"/>
                <w:highlight w:val="none"/>
                <w:u w:val="single"/>
              </w:rPr>
              <w:t>/</w:t>
            </w:r>
          </w:p>
        </w:tc>
        <w:tc>
          <w:tcPr>
            <w:tcW w:w="1560" w:type="dxa"/>
            <w:noWrap w:val="0"/>
            <w:vAlign w:val="center"/>
          </w:tcPr>
          <w:p w14:paraId="566DAD39">
            <w:pPr>
              <w:rPr>
                <w:rFonts w:hint="eastAsia" w:ascii="宋体" w:hAnsi="宋体" w:cs="宋体"/>
                <w:sz w:val="18"/>
                <w:szCs w:val="18"/>
                <w:highlight w:val="none"/>
              </w:rPr>
            </w:pPr>
            <w:r>
              <w:rPr>
                <w:rFonts w:hint="eastAsia" w:ascii="宋体" w:hAnsi="宋体" w:cs="宋体"/>
                <w:sz w:val="18"/>
                <w:szCs w:val="18"/>
                <w:highlight w:val="none"/>
              </w:rPr>
              <w:t>账  号：</w:t>
            </w:r>
          </w:p>
        </w:tc>
        <w:tc>
          <w:tcPr>
            <w:tcW w:w="3465" w:type="dxa"/>
            <w:noWrap w:val="0"/>
            <w:vAlign w:val="center"/>
          </w:tcPr>
          <w:p w14:paraId="23360C27">
            <w:pPr>
              <w:rPr>
                <w:rFonts w:hint="eastAsia" w:ascii="宋体" w:hAnsi="宋体" w:cs="宋体"/>
                <w:sz w:val="18"/>
                <w:szCs w:val="18"/>
                <w:highlight w:val="none"/>
                <w:u w:val="single"/>
              </w:rPr>
            </w:pPr>
            <w:r>
              <w:rPr>
                <w:rFonts w:hint="eastAsia" w:ascii="宋体" w:hAnsi="宋体" w:cs="宋体"/>
                <w:sz w:val="18"/>
                <w:szCs w:val="18"/>
                <w:highlight w:val="none"/>
                <w:u w:val="single"/>
              </w:rPr>
              <w:t>8111401013100320872</w:t>
            </w:r>
          </w:p>
        </w:tc>
      </w:tr>
      <w:tr w14:paraId="78AC4723">
        <w:tblPrEx>
          <w:tblCellMar>
            <w:top w:w="0" w:type="dxa"/>
            <w:left w:w="108" w:type="dxa"/>
            <w:bottom w:w="0" w:type="dxa"/>
            <w:right w:w="108" w:type="dxa"/>
          </w:tblCellMar>
        </w:tblPrEx>
        <w:trPr>
          <w:trHeight w:val="408" w:hRule="atLeast"/>
        </w:trPr>
        <w:tc>
          <w:tcPr>
            <w:tcW w:w="1137" w:type="dxa"/>
            <w:noWrap w:val="0"/>
            <w:vAlign w:val="center"/>
          </w:tcPr>
          <w:p w14:paraId="48F0731B">
            <w:pPr>
              <w:rPr>
                <w:rFonts w:hint="eastAsia" w:ascii="宋体" w:hAnsi="宋体" w:cs="宋体"/>
                <w:sz w:val="18"/>
                <w:szCs w:val="18"/>
                <w:highlight w:val="none"/>
              </w:rPr>
            </w:pPr>
          </w:p>
        </w:tc>
        <w:tc>
          <w:tcPr>
            <w:tcW w:w="3540" w:type="dxa"/>
            <w:noWrap w:val="0"/>
            <w:vAlign w:val="center"/>
          </w:tcPr>
          <w:p w14:paraId="00F55B8A">
            <w:pPr>
              <w:rPr>
                <w:rFonts w:hint="eastAsia"/>
                <w:sz w:val="18"/>
                <w:szCs w:val="18"/>
                <w:highlight w:val="none"/>
              </w:rPr>
            </w:pPr>
          </w:p>
        </w:tc>
        <w:tc>
          <w:tcPr>
            <w:tcW w:w="1560" w:type="dxa"/>
            <w:noWrap w:val="0"/>
            <w:vAlign w:val="center"/>
          </w:tcPr>
          <w:p w14:paraId="0DC5FE81">
            <w:pPr>
              <w:rPr>
                <w:rFonts w:hint="eastAsia" w:ascii="宋体" w:hAnsi="宋体" w:cs="宋体"/>
                <w:sz w:val="18"/>
                <w:szCs w:val="18"/>
                <w:highlight w:val="none"/>
              </w:rPr>
            </w:pPr>
          </w:p>
        </w:tc>
        <w:tc>
          <w:tcPr>
            <w:tcW w:w="3465" w:type="dxa"/>
            <w:noWrap w:val="0"/>
            <w:vAlign w:val="center"/>
          </w:tcPr>
          <w:p w14:paraId="7F0D23D3">
            <w:pPr>
              <w:rPr>
                <w:rFonts w:hint="eastAsia" w:ascii="宋体" w:hAnsi="宋体" w:cs="宋体"/>
                <w:sz w:val="18"/>
                <w:szCs w:val="18"/>
                <w:highlight w:val="none"/>
              </w:rPr>
            </w:pPr>
            <w:r>
              <w:rPr>
                <w:rFonts w:hint="eastAsia" w:ascii="宋体" w:hAnsi="宋体" w:cs="宋体"/>
                <w:sz w:val="18"/>
                <w:szCs w:val="18"/>
                <w:highlight w:val="none"/>
                <w:u w:val="single"/>
              </w:rPr>
              <w:t>202</w:t>
            </w:r>
            <w:r>
              <w:rPr>
                <w:rFonts w:hint="eastAsia" w:ascii="宋体" w:hAnsi="宋体" w:cs="宋体"/>
                <w:sz w:val="18"/>
                <w:szCs w:val="18"/>
                <w:highlight w:val="none"/>
                <w:u w:val="single"/>
                <w:lang w:val="en-US" w:eastAsia="zh-CN"/>
              </w:rPr>
              <w:t>3</w:t>
            </w:r>
            <w:r>
              <w:rPr>
                <w:rFonts w:hint="eastAsia" w:ascii="宋体" w:hAnsi="宋体" w:cs="宋体"/>
                <w:sz w:val="18"/>
                <w:szCs w:val="18"/>
                <w:highlight w:val="none"/>
              </w:rPr>
              <w:t>年</w:t>
            </w:r>
            <w:r>
              <w:rPr>
                <w:rFonts w:hint="eastAsia" w:ascii="宋体" w:hAnsi="宋体" w:cs="宋体"/>
                <w:sz w:val="18"/>
                <w:szCs w:val="18"/>
                <w:highlight w:val="none"/>
                <w:u w:val="single"/>
                <w:lang w:val="en-US" w:eastAsia="zh-CN"/>
              </w:rPr>
              <w:t>4</w:t>
            </w:r>
            <w:r>
              <w:rPr>
                <w:rFonts w:hint="eastAsia" w:ascii="宋体" w:hAnsi="宋体" w:cs="宋体"/>
                <w:sz w:val="18"/>
                <w:szCs w:val="18"/>
                <w:highlight w:val="none"/>
              </w:rPr>
              <w:t>月</w:t>
            </w:r>
            <w:r>
              <w:rPr>
                <w:rFonts w:hint="eastAsia" w:ascii="宋体" w:hAnsi="宋体" w:cs="宋体"/>
                <w:sz w:val="18"/>
                <w:szCs w:val="18"/>
                <w:highlight w:val="none"/>
                <w:u w:val="single"/>
              </w:rPr>
              <w:t>2</w:t>
            </w:r>
            <w:r>
              <w:rPr>
                <w:rFonts w:hint="eastAsia" w:ascii="宋体" w:hAnsi="宋体" w:cs="宋体"/>
                <w:sz w:val="18"/>
                <w:szCs w:val="18"/>
                <w:highlight w:val="none"/>
                <w:u w:val="single"/>
                <w:lang w:val="en-US" w:eastAsia="zh-CN"/>
              </w:rPr>
              <w:t>7</w:t>
            </w:r>
            <w:r>
              <w:rPr>
                <w:rFonts w:hint="eastAsia" w:ascii="宋体" w:hAnsi="宋体" w:cs="宋体"/>
                <w:sz w:val="18"/>
                <w:szCs w:val="18"/>
                <w:highlight w:val="none"/>
              </w:rPr>
              <w:t>日</w:t>
            </w:r>
          </w:p>
        </w:tc>
      </w:tr>
      <w:bookmarkEnd w:id="9"/>
      <w:bookmarkEnd w:id="10"/>
    </w:tbl>
    <w:p w14:paraId="605F59A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cho">
    <w:altName w:val="Yu Gothic UI"/>
    <w:panose1 w:val="02020609040305080305"/>
    <w:charset w:val="80"/>
    <w:family w:val="roman"/>
    <w:pitch w:val="default"/>
    <w:sig w:usb0="00000000" w:usb1="00000000" w:usb2="00000010" w:usb3="00000000" w:csb0="00020000" w:csb1="00000000"/>
  </w:font>
  <w:font w:name="Yu Gothic UI">
    <w:panose1 w:val="020B0500000000000000"/>
    <w:charset w:val="80"/>
    <w:family w:val="auto"/>
    <w:pitch w:val="default"/>
    <w:sig w:usb0="E00002FF" w:usb1="2AC7FDFF" w:usb2="00000016" w:usb3="00000000" w:csb0="2002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kM2ZjM2Q0MjA4OTJlMDZhM2UxNDk0MGU2OTk2OTYifQ=="/>
  </w:docVars>
  <w:rsids>
    <w:rsidRoot w:val="368440B2"/>
    <w:rsid w:val="0A975576"/>
    <w:rsid w:val="13493849"/>
    <w:rsid w:val="15CE3071"/>
    <w:rsid w:val="192E349E"/>
    <w:rsid w:val="199D0562"/>
    <w:rsid w:val="2A0B6CFA"/>
    <w:rsid w:val="368440B2"/>
    <w:rsid w:val="5CBF7211"/>
    <w:rsid w:val="733F3BA1"/>
    <w:rsid w:val="7CF37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utoSpaceDE w:val="0"/>
      <w:autoSpaceDN w:val="0"/>
      <w:adjustRightInd w:val="0"/>
      <w:spacing w:line="360" w:lineRule="auto"/>
    </w:pPr>
    <w:rPr>
      <w:rFonts w:ascii="Mincho"/>
      <w:kern w:val="0"/>
      <w:sz w:val="24"/>
    </w:rPr>
  </w:style>
  <w:style w:type="paragraph" w:styleId="3">
    <w:name w:val="Body Text 2"/>
    <w:basedOn w:val="1"/>
    <w:qFormat/>
    <w:uiPriority w:val="0"/>
    <w:rPr>
      <w:rFonts w:ascii="仿宋_GB2312" w:eastAsia="仿宋_GB2312"/>
      <w:b/>
      <w:sz w:val="28"/>
      <w:szCs w:val="20"/>
    </w:rPr>
  </w:style>
  <w:style w:type="paragraph" w:customStyle="1" w:styleId="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1621</Words>
  <Characters>1828</Characters>
  <Lines>0</Lines>
  <Paragraphs>0</Paragraphs>
  <TotalTime>4</TotalTime>
  <ScaleCrop>false</ScaleCrop>
  <LinksUpToDate>false</LinksUpToDate>
  <CharactersWithSpaces>1837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2023-04-27T04:52:00Z</dcterms:created>
  <dc:creator>擎</dc:creator>
  <cp:lastModifiedBy>叫我馒头就好啦</cp:lastModifiedBy>
  <dcterms:modified xsi:type="dcterms:W3CDTF">2026-06-04T06:21:32Z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C3B55BE546DA4C7C9F0779F650DA8901_13</vt:lpwstr>
  </property>
  <property fmtid="{D5CDD505-2E9C-101B-9397-08002B2CF9AE}" pid="4" name="KSOTemplateDocerSaveRecord">
    <vt:lpwstr>eyJoZGlkIjoiZGQ1ODk2YWQyZTU2OTg5ZGMwNDk2NjUxMTIzMzhkOGIiLCJ1c2VySWQiOiIzMTA0MDYwMTYifQ==</vt:lpwstr>
  </property>
</Properties>
</file>