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Times New Roman" w:hAnsi="Times New Roman" w:eastAsia="黑体"/>
          <w:sz w:val="32"/>
          <w:szCs w:val="32"/>
          <w:lang w:val="en" w:eastAsia="zh-CN"/>
        </w:rPr>
      </w:pPr>
      <w:r>
        <w:rPr>
          <w:rFonts w:ascii="Times New Roman" w:hAnsi="Times New Roman" w:eastAsia="黑体"/>
          <w:color w:val="000000"/>
          <w:kern w:val="0"/>
          <w:sz w:val="32"/>
          <w:szCs w:val="32"/>
          <w:lang w:bidi="ar"/>
        </w:rPr>
        <w:t>附件</w:t>
      </w:r>
      <w:r>
        <w:rPr>
          <w:rFonts w:hint="eastAsia" w:ascii="Times New Roman" w:hAnsi="Times New Roman" w:eastAsia="黑体"/>
          <w:color w:val="000000"/>
          <w:kern w:val="0"/>
          <w:sz w:val="32"/>
          <w:szCs w:val="32"/>
          <w:lang w:eastAsia="zh-CN" w:bidi="ar"/>
        </w:rPr>
        <w:t>三</w:t>
      </w:r>
    </w:p>
    <w:tbl>
      <w:tblPr>
        <w:tblStyle w:val="4"/>
        <w:tblW w:w="5000" w:type="pct"/>
        <w:tblInd w:w="0" w:type="dxa"/>
        <w:tblLayout w:type="autofit"/>
        <w:tblCellMar>
          <w:top w:w="0" w:type="dxa"/>
          <w:left w:w="108" w:type="dxa"/>
          <w:bottom w:w="0" w:type="dxa"/>
          <w:right w:w="108" w:type="dxa"/>
        </w:tblCellMar>
      </w:tblPr>
      <w:tblGrid>
        <w:gridCol w:w="12971"/>
      </w:tblGrid>
      <w:tr>
        <w:tblPrEx>
          <w:tblCellMar>
            <w:top w:w="0" w:type="dxa"/>
            <w:left w:w="108" w:type="dxa"/>
            <w:bottom w:w="0" w:type="dxa"/>
            <w:right w:w="108" w:type="dxa"/>
          </w:tblCellMar>
        </w:tblPrEx>
        <w:trPr>
          <w:trHeight w:val="797" w:hRule="atLeast"/>
        </w:trPr>
        <w:tc>
          <w:tcPr>
            <w:tcW w:w="5000" w:type="pct"/>
            <w:noWrap w:val="0"/>
            <w:vAlign w:val="center"/>
          </w:tcPr>
          <w:p>
            <w:pPr>
              <w:widowControl/>
              <w:jc w:val="center"/>
              <w:rPr>
                <w:rFonts w:ascii="方正小标宋简体" w:hAnsi="Times New Roman" w:eastAsia="方正小标宋简体"/>
                <w:color w:val="000000"/>
                <w:kern w:val="0"/>
                <w:sz w:val="44"/>
                <w:szCs w:val="44"/>
              </w:rPr>
            </w:pPr>
            <w:r>
              <w:rPr>
                <w:rFonts w:hint="eastAsia" w:ascii="方正小标宋简体" w:hAnsi="Times New Roman" w:eastAsia="方正小标宋简体"/>
                <w:color w:val="000000"/>
                <w:spacing w:val="-6"/>
                <w:kern w:val="0"/>
                <w:sz w:val="44"/>
                <w:szCs w:val="44"/>
              </w:rPr>
              <w:t>天津市行政许可中介要件</w:t>
            </w:r>
            <w:r>
              <w:rPr>
                <w:rFonts w:hint="eastAsia" w:ascii="方正小标宋简体" w:hAnsi="Times New Roman" w:eastAsia="方正小标宋简体"/>
                <w:color w:val="000000"/>
                <w:spacing w:val="-6"/>
                <w:kern w:val="0"/>
                <w:sz w:val="44"/>
                <w:szCs w:val="44"/>
                <w:lang w:eastAsia="zh-CN"/>
              </w:rPr>
              <w:t>收费项目</w:t>
            </w:r>
            <w:r>
              <w:rPr>
                <w:rFonts w:hint="eastAsia" w:ascii="方正小标宋简体" w:hAnsi="Times New Roman" w:eastAsia="方正小标宋简体"/>
                <w:color w:val="000000"/>
                <w:spacing w:val="-6"/>
                <w:kern w:val="0"/>
                <w:sz w:val="44"/>
                <w:szCs w:val="44"/>
              </w:rPr>
              <w:t>目录</w:t>
            </w:r>
            <w:r>
              <w:rPr>
                <w:rFonts w:hint="eastAsia" w:ascii="方正小标宋简体" w:hAnsi="Times New Roman" w:eastAsia="方正小标宋简体"/>
                <w:color w:val="000000"/>
                <w:spacing w:val="-6"/>
                <w:kern w:val="0"/>
                <w:sz w:val="44"/>
                <w:szCs w:val="44"/>
                <w:lang w:eastAsia="zh-CN"/>
              </w:rPr>
              <w:t>清单</w:t>
            </w:r>
            <w:r>
              <w:rPr>
                <w:rFonts w:hint="eastAsia" w:ascii="方正小标宋简体" w:hAnsi="Times New Roman" w:eastAsia="方正小标宋简体"/>
                <w:color w:val="000000"/>
                <w:spacing w:val="-6"/>
                <w:kern w:val="0"/>
                <w:sz w:val="44"/>
                <w:szCs w:val="44"/>
              </w:rPr>
              <w:t>（</w:t>
            </w:r>
            <w:r>
              <w:rPr>
                <w:rFonts w:hint="eastAsia" w:ascii="Times New Roman" w:hAnsi="Times New Roman" w:eastAsia="仿宋_GB2312"/>
                <w:spacing w:val="-6"/>
                <w:sz w:val="44"/>
                <w:szCs w:val="44"/>
              </w:rPr>
              <w:t>202</w:t>
            </w:r>
            <w:r>
              <w:rPr>
                <w:rFonts w:ascii="Times New Roman" w:hAnsi="Times New Roman" w:eastAsia="仿宋_GB2312"/>
                <w:spacing w:val="-6"/>
                <w:sz w:val="44"/>
                <w:szCs w:val="44"/>
              </w:rPr>
              <w:t>3</w:t>
            </w:r>
            <w:r>
              <w:rPr>
                <w:rFonts w:hint="eastAsia" w:ascii="方正小标宋简体" w:hAnsi="Times New Roman" w:eastAsia="方正小标宋简体"/>
                <w:color w:val="000000"/>
                <w:spacing w:val="-6"/>
                <w:kern w:val="0"/>
                <w:sz w:val="44"/>
                <w:szCs w:val="44"/>
              </w:rPr>
              <w:t>年版）</w:t>
            </w:r>
          </w:p>
        </w:tc>
      </w:tr>
    </w:tbl>
    <w:p>
      <w:pPr>
        <w:spacing w:line="140" w:lineRule="exact"/>
        <w:rPr>
          <w:rFonts w:ascii="Times New Roman" w:hAnsi="Times New Roman"/>
          <w:szCs w:val="24"/>
        </w:rPr>
      </w:pPr>
    </w:p>
    <w:tbl>
      <w:tblPr>
        <w:tblStyle w:val="4"/>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1443"/>
        <w:gridCol w:w="1476"/>
        <w:gridCol w:w="2529"/>
        <w:gridCol w:w="2697"/>
        <w:gridCol w:w="1869"/>
        <w:gridCol w:w="1277"/>
        <w:gridCol w:w="1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blHeader/>
        </w:trPr>
        <w:tc>
          <w:tcPr>
            <w:tcW w:w="197" w:type="pct"/>
            <w:noWrap w:val="0"/>
            <w:vAlign w:val="center"/>
          </w:tcPr>
          <w:p>
            <w:pPr>
              <w:widowControl/>
              <w:jc w:val="center"/>
              <w:rPr>
                <w:rFonts w:ascii="Times New Roman" w:hAnsi="Times New Roman" w:eastAsia="黑体"/>
                <w:color w:val="000000"/>
                <w:kern w:val="0"/>
                <w:sz w:val="20"/>
                <w:szCs w:val="20"/>
              </w:rPr>
            </w:pPr>
            <w:r>
              <w:rPr>
                <w:rFonts w:ascii="Times New Roman" w:hAnsi="Times New Roman" w:eastAsia="黑体"/>
                <w:color w:val="000000"/>
                <w:kern w:val="0"/>
                <w:sz w:val="20"/>
                <w:szCs w:val="20"/>
              </w:rPr>
              <w:t>序号</w:t>
            </w:r>
          </w:p>
        </w:tc>
        <w:tc>
          <w:tcPr>
            <w:tcW w:w="557" w:type="pct"/>
            <w:noWrap w:val="0"/>
            <w:vAlign w:val="center"/>
          </w:tcPr>
          <w:p>
            <w:pPr>
              <w:widowControl/>
              <w:jc w:val="center"/>
              <w:rPr>
                <w:rFonts w:ascii="Times New Roman" w:hAnsi="Times New Roman" w:eastAsia="黑体"/>
                <w:color w:val="000000"/>
                <w:kern w:val="0"/>
                <w:sz w:val="20"/>
                <w:szCs w:val="20"/>
              </w:rPr>
            </w:pPr>
            <w:r>
              <w:rPr>
                <w:rFonts w:ascii="Times New Roman" w:hAnsi="Times New Roman" w:eastAsia="黑体"/>
                <w:color w:val="000000"/>
                <w:kern w:val="0"/>
                <w:sz w:val="20"/>
                <w:szCs w:val="20"/>
              </w:rPr>
              <w:t>市级审批部门</w:t>
            </w:r>
          </w:p>
        </w:tc>
        <w:tc>
          <w:tcPr>
            <w:tcW w:w="570" w:type="pct"/>
            <w:noWrap w:val="0"/>
            <w:vAlign w:val="center"/>
          </w:tcPr>
          <w:p>
            <w:pPr>
              <w:widowControl/>
              <w:spacing w:line="320" w:lineRule="exact"/>
              <w:jc w:val="center"/>
              <w:rPr>
                <w:rFonts w:ascii="Times New Roman" w:hAnsi="Times New Roman" w:eastAsia="黑体"/>
                <w:color w:val="000000"/>
                <w:kern w:val="0"/>
                <w:sz w:val="20"/>
                <w:szCs w:val="20"/>
              </w:rPr>
            </w:pPr>
            <w:r>
              <w:rPr>
                <w:rFonts w:ascii="Times New Roman" w:hAnsi="Times New Roman" w:eastAsia="黑体"/>
                <w:color w:val="000000"/>
                <w:kern w:val="0"/>
                <w:sz w:val="20"/>
                <w:szCs w:val="20"/>
              </w:rPr>
              <w:t>区级审批部门</w:t>
            </w:r>
          </w:p>
        </w:tc>
        <w:tc>
          <w:tcPr>
            <w:tcW w:w="977" w:type="pct"/>
            <w:noWrap w:val="0"/>
            <w:vAlign w:val="center"/>
          </w:tcPr>
          <w:p>
            <w:pPr>
              <w:widowControl/>
              <w:jc w:val="center"/>
              <w:rPr>
                <w:rFonts w:ascii="Times New Roman" w:hAnsi="Times New Roman" w:eastAsia="黑体"/>
                <w:color w:val="000000"/>
                <w:kern w:val="0"/>
                <w:sz w:val="20"/>
                <w:szCs w:val="20"/>
              </w:rPr>
            </w:pPr>
            <w:r>
              <w:rPr>
                <w:rFonts w:ascii="Times New Roman" w:hAnsi="Times New Roman" w:eastAsia="黑体"/>
                <w:color w:val="000000"/>
                <w:kern w:val="0"/>
                <w:sz w:val="20"/>
                <w:szCs w:val="20"/>
              </w:rPr>
              <w:t>行政许可事项名称</w:t>
            </w:r>
          </w:p>
        </w:tc>
        <w:tc>
          <w:tcPr>
            <w:tcW w:w="1042" w:type="pct"/>
            <w:noWrap w:val="0"/>
            <w:vAlign w:val="center"/>
          </w:tcPr>
          <w:p>
            <w:pPr>
              <w:widowControl/>
              <w:jc w:val="center"/>
              <w:rPr>
                <w:rFonts w:ascii="Times New Roman" w:hAnsi="Times New Roman" w:eastAsia="黑体"/>
                <w:color w:val="000000"/>
                <w:kern w:val="0"/>
                <w:sz w:val="20"/>
                <w:szCs w:val="20"/>
              </w:rPr>
            </w:pPr>
            <w:r>
              <w:rPr>
                <w:rFonts w:ascii="Times New Roman" w:hAnsi="Times New Roman" w:eastAsia="黑体"/>
                <w:color w:val="000000"/>
                <w:kern w:val="0"/>
                <w:sz w:val="20"/>
                <w:szCs w:val="20"/>
              </w:rPr>
              <w:t>中介要件名称</w:t>
            </w:r>
          </w:p>
        </w:tc>
        <w:tc>
          <w:tcPr>
            <w:tcW w:w="721" w:type="pct"/>
            <w:noWrap w:val="0"/>
            <w:vAlign w:val="center"/>
          </w:tcPr>
          <w:p>
            <w:pPr>
              <w:widowControl/>
              <w:jc w:val="center"/>
              <w:rPr>
                <w:rFonts w:hint="eastAsia" w:ascii="Times New Roman" w:hAnsi="Times New Roman" w:eastAsia="黑体"/>
                <w:color w:val="000000"/>
                <w:kern w:val="0"/>
                <w:sz w:val="20"/>
                <w:szCs w:val="20"/>
                <w:lang w:eastAsia="zh-CN"/>
              </w:rPr>
            </w:pPr>
            <w:r>
              <w:rPr>
                <w:rFonts w:hint="eastAsia" w:ascii="Times New Roman" w:hAnsi="Times New Roman" w:eastAsia="黑体"/>
                <w:color w:val="000000"/>
                <w:kern w:val="0"/>
                <w:sz w:val="20"/>
                <w:szCs w:val="20"/>
                <w:lang w:eastAsia="zh-CN"/>
              </w:rPr>
              <w:t>收费项目</w:t>
            </w:r>
          </w:p>
        </w:tc>
        <w:tc>
          <w:tcPr>
            <w:tcW w:w="493" w:type="pct"/>
            <w:noWrap w:val="0"/>
            <w:vAlign w:val="center"/>
          </w:tcPr>
          <w:p>
            <w:pPr>
              <w:widowControl/>
              <w:jc w:val="center"/>
              <w:rPr>
                <w:rFonts w:hint="eastAsia" w:ascii="Times New Roman" w:hAnsi="Times New Roman" w:eastAsia="黑体"/>
                <w:color w:val="000000"/>
                <w:kern w:val="0"/>
                <w:sz w:val="20"/>
                <w:szCs w:val="20"/>
                <w:lang w:eastAsia="zh-CN"/>
              </w:rPr>
            </w:pPr>
            <w:r>
              <w:rPr>
                <w:rFonts w:hint="eastAsia" w:ascii="Times New Roman" w:hAnsi="Times New Roman" w:eastAsia="黑体"/>
                <w:color w:val="000000"/>
                <w:kern w:val="0"/>
                <w:sz w:val="20"/>
                <w:szCs w:val="20"/>
                <w:lang w:eastAsia="zh-CN"/>
              </w:rPr>
              <w:t>收费标准</w:t>
            </w:r>
          </w:p>
        </w:tc>
        <w:tc>
          <w:tcPr>
            <w:tcW w:w="440" w:type="pct"/>
            <w:noWrap w:val="0"/>
            <w:vAlign w:val="center"/>
          </w:tcPr>
          <w:p>
            <w:pPr>
              <w:widowControl/>
              <w:jc w:val="center"/>
              <w:rPr>
                <w:rFonts w:hint="eastAsia" w:ascii="Times New Roman" w:hAnsi="Times New Roman" w:eastAsia="黑体"/>
                <w:color w:val="000000"/>
                <w:kern w:val="0"/>
                <w:sz w:val="20"/>
                <w:szCs w:val="20"/>
                <w:lang w:eastAsia="zh-CN"/>
              </w:rPr>
            </w:pPr>
            <w:r>
              <w:rPr>
                <w:rFonts w:hint="eastAsia" w:ascii="Times New Roman" w:hAnsi="Times New Roman" w:eastAsia="黑体"/>
                <w:color w:val="000000"/>
                <w:kern w:val="0"/>
                <w:sz w:val="20"/>
                <w:szCs w:val="20"/>
                <w:lang w:eastAsia="zh-CN"/>
              </w:rPr>
              <w:t>执收单位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trPr>
        <w:tc>
          <w:tcPr>
            <w:tcW w:w="197" w:type="pct"/>
            <w:vMerge w:val="restar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1</w:t>
            </w:r>
          </w:p>
        </w:tc>
        <w:tc>
          <w:tcPr>
            <w:tcW w:w="557" w:type="pct"/>
            <w:vMerge w:val="restar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w:t>
            </w:r>
            <w:r>
              <w:rPr>
                <w:rFonts w:hint="eastAsia" w:ascii="Times New Roman" w:hAnsi="Times New Roman" w:eastAsia="仿宋_GB2312"/>
                <w:color w:val="000000"/>
                <w:kern w:val="0"/>
                <w:sz w:val="20"/>
                <w:szCs w:val="20"/>
              </w:rPr>
              <w:t>规划和自然资源局</w:t>
            </w:r>
          </w:p>
        </w:tc>
        <w:tc>
          <w:tcPr>
            <w:tcW w:w="570" w:type="pct"/>
            <w:vMerge w:val="restar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p>
        </w:tc>
        <w:tc>
          <w:tcPr>
            <w:tcW w:w="977" w:type="pct"/>
            <w:vMerge w:val="restar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建设项目用地预审与选址意见书核</w:t>
            </w:r>
            <w:bookmarkStart w:id="0" w:name="_GoBack"/>
            <w:bookmarkEnd w:id="0"/>
            <w:r>
              <w:rPr>
                <w:rFonts w:hint="eastAsia" w:ascii="Times New Roman" w:hAnsi="Times New Roman" w:eastAsia="仿宋_GB2312"/>
                <w:color w:val="000000"/>
                <w:kern w:val="0"/>
                <w:sz w:val="20"/>
                <w:szCs w:val="20"/>
              </w:rPr>
              <w:t>发</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现势地形图（以出让方式供地项目应包括核定用地图）和电子文件</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仿宋_GB2312" w:hAnsi="宋体" w:eastAsia="仿宋_GB2312" w:cs="仿宋_GB2312"/>
                <w:kern w:val="0"/>
                <w:sz w:val="20"/>
                <w:szCs w:val="20"/>
              </w:rPr>
              <w:t>现势地形、核定用地测量收费</w:t>
            </w:r>
          </w:p>
        </w:tc>
        <w:tc>
          <w:tcPr>
            <w:tcW w:w="493" w:type="pct"/>
            <w:shd w:val="clear" w:color="auto" w:fill="FFFFFF"/>
            <w:noWrap w:val="0"/>
            <w:vAlign w:val="center"/>
          </w:tcPr>
          <w:p>
            <w:pPr>
              <w:widowControl/>
              <w:rPr>
                <w:rFonts w:hint="eastAsia" w:ascii="Times New Roman" w:hAnsi="Times New Roman" w:eastAsia="仿宋_GB2312"/>
                <w:color w:val="000000"/>
                <w:kern w:val="0"/>
                <w:sz w:val="20"/>
                <w:szCs w:val="20"/>
                <w:lang w:eastAsia="zh-CN"/>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具有测绘资质机构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auto"/>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auto"/>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现势地形（管网）图和电子文件</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仿宋_GB2312" w:hAnsi="宋体" w:eastAsia="仿宋_GB2312" w:cs="仿宋_GB2312"/>
                <w:kern w:val="0"/>
                <w:sz w:val="20"/>
                <w:szCs w:val="20"/>
              </w:rPr>
              <w:t>现势地形测量收费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具有测绘资质机构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auto"/>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auto"/>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规划方案（线性占地类、管线综合类以及长度大于2000米以上的非占地类项目需提供）</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仿宋_GB2312" w:hAnsi="宋体" w:eastAsia="仿宋_GB2312" w:cs="仿宋_GB2312"/>
                <w:kern w:val="0"/>
                <w:sz w:val="20"/>
                <w:szCs w:val="20"/>
              </w:rPr>
              <w:t>市政工程规划方案设计收费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具有规划资质机构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2</w:t>
            </w:r>
          </w:p>
        </w:tc>
        <w:tc>
          <w:tcPr>
            <w:tcW w:w="557" w:type="pct"/>
            <w:shd w:val="clear" w:color="auto" w:fill="FFFFFF"/>
            <w:noWrap w:val="0"/>
            <w:vAlign w:val="center"/>
          </w:tcPr>
          <w:p>
            <w:pPr>
              <w:widowControl/>
              <w:jc w:val="center"/>
              <w:rPr>
                <w:rFonts w:hint="default" w:ascii="Times New Roman" w:hAnsi="Times New Roman" w:eastAsia="仿宋_GB2312"/>
                <w:color w:val="000000"/>
                <w:kern w:val="0"/>
                <w:sz w:val="20"/>
                <w:szCs w:val="20"/>
                <w:lang w:val="en"/>
              </w:rPr>
            </w:pPr>
            <w:r>
              <w:rPr>
                <w:rFonts w:ascii="Times New Roman" w:hAnsi="Times New Roman" w:eastAsia="仿宋_GB2312"/>
                <w:color w:val="000000"/>
                <w:kern w:val="0"/>
                <w:sz w:val="20"/>
                <w:szCs w:val="20"/>
              </w:rPr>
              <w:t>市</w:t>
            </w:r>
            <w:r>
              <w:rPr>
                <w:rFonts w:ascii="Times New Roman" w:hAnsi="Times New Roman" w:eastAsia="仿宋_GB2312"/>
                <w:color w:val="000000"/>
                <w:kern w:val="0"/>
                <w:sz w:val="20"/>
                <w:szCs w:val="20"/>
                <w:lang w:val="en"/>
              </w:rPr>
              <w:t>规划和自然资源局</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建设工程规划验收合格证</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建设工程规划验收测量技术报告</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highlight w:val="none"/>
              </w:rPr>
              <w:t>建设工程规划验收测量</w:t>
            </w:r>
            <w:r>
              <w:rPr>
                <w:rFonts w:hint="eastAsia" w:ascii="Times New Roman" w:hAnsi="Times New Roman" w:eastAsia="仿宋_GB2312"/>
                <w:color w:val="000000"/>
                <w:kern w:val="0"/>
                <w:sz w:val="20"/>
                <w:szCs w:val="20"/>
                <w:highlight w:val="none"/>
                <w:lang w:eastAsia="zh-CN"/>
              </w:rPr>
              <w:t>收费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具有测绘资质机构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197" w:type="pct"/>
            <w:vMerge w:val="restar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3</w:t>
            </w:r>
          </w:p>
        </w:tc>
        <w:tc>
          <w:tcPr>
            <w:tcW w:w="557" w:type="pct"/>
            <w:vMerge w:val="restart"/>
            <w:shd w:val="clear" w:color="auto" w:fill="FFFFFF"/>
            <w:noWrap w:val="0"/>
            <w:vAlign w:val="center"/>
          </w:tcPr>
          <w:p>
            <w:pPr>
              <w:widowControl/>
              <w:jc w:val="center"/>
              <w:rPr>
                <w:rFonts w:hint="default" w:ascii="Times New Roman" w:hAnsi="Times New Roman" w:eastAsia="仿宋_GB2312"/>
                <w:color w:val="000000"/>
                <w:kern w:val="0"/>
                <w:sz w:val="20"/>
                <w:szCs w:val="20"/>
                <w:lang w:val="en"/>
              </w:rPr>
            </w:pPr>
            <w:r>
              <w:rPr>
                <w:rFonts w:ascii="Times New Roman" w:hAnsi="Times New Roman" w:eastAsia="仿宋_GB2312"/>
                <w:color w:val="000000"/>
                <w:kern w:val="0"/>
                <w:sz w:val="20"/>
                <w:szCs w:val="20"/>
              </w:rPr>
              <w:t>市</w:t>
            </w:r>
            <w:r>
              <w:rPr>
                <w:rFonts w:ascii="Times New Roman" w:hAnsi="Times New Roman" w:eastAsia="仿宋_GB2312"/>
                <w:color w:val="000000"/>
                <w:kern w:val="0"/>
                <w:sz w:val="20"/>
                <w:szCs w:val="20"/>
                <w:lang w:val="en"/>
              </w:rPr>
              <w:t>规划和自然资源局</w:t>
            </w:r>
          </w:p>
        </w:tc>
        <w:tc>
          <w:tcPr>
            <w:tcW w:w="570" w:type="pct"/>
            <w:vMerge w:val="restar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p>
        </w:tc>
        <w:tc>
          <w:tcPr>
            <w:tcW w:w="977" w:type="pct"/>
            <w:vMerge w:val="restar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建设工程、临时建设工程规划许可</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建设工程设计方案3份（含电子文件）</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仿宋_GB2312" w:hAnsi="宋体" w:eastAsia="仿宋_GB2312" w:cs="仿宋_GB2312"/>
                <w:kern w:val="0"/>
                <w:sz w:val="20"/>
                <w:szCs w:val="20"/>
              </w:rPr>
              <w:t>建设工程设计方案设计收费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具有相应设计资质机构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auto"/>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auto"/>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建设工程规划放线测量技术报告3份（含电子文件）</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仿宋_GB2312" w:hAnsi="宋体" w:eastAsia="仿宋_GB2312" w:cs="仿宋_GB2312"/>
                <w:kern w:val="0"/>
                <w:sz w:val="20"/>
                <w:szCs w:val="20"/>
              </w:rPr>
              <w:t>建设工程规划放线测量收费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具有测绘资质机构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7" w:hRule="atLeast"/>
        </w:trPr>
        <w:tc>
          <w:tcPr>
            <w:tcW w:w="197" w:type="pct"/>
            <w:vMerge w:val="restar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4</w:t>
            </w:r>
          </w:p>
        </w:tc>
        <w:tc>
          <w:tcPr>
            <w:tcW w:w="557" w:type="pct"/>
            <w:vMerge w:val="restar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不涉及</w:t>
            </w:r>
          </w:p>
        </w:tc>
        <w:tc>
          <w:tcPr>
            <w:tcW w:w="570" w:type="pct"/>
            <w:vMerge w:val="restar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r>
              <w:rPr>
                <w:rFonts w:eastAsia="仿宋_GB2312"/>
                <w:color w:val="000000"/>
                <w:kern w:val="0"/>
                <w:sz w:val="20"/>
                <w:szCs w:val="20"/>
                <w:lang w:bidi="ar"/>
              </w:rPr>
              <w:t>（除市内六区）</w:t>
            </w:r>
          </w:p>
        </w:tc>
        <w:tc>
          <w:tcPr>
            <w:tcW w:w="977" w:type="pct"/>
            <w:vMerge w:val="restar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乡村建设规划许可</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房屋设计方案3份（含电子文件，平房村民住宅建设项目无需提供）</w:t>
            </w:r>
          </w:p>
        </w:tc>
        <w:tc>
          <w:tcPr>
            <w:tcW w:w="721" w:type="pct"/>
            <w:shd w:val="clear" w:color="auto" w:fill="FFFFFF"/>
            <w:noWrap w:val="0"/>
            <w:vAlign w:val="center"/>
          </w:tcPr>
          <w:p>
            <w:pPr>
              <w:widowControl/>
              <w:jc w:val="center"/>
              <w:rPr>
                <w:rFonts w:hint="eastAsia" w:ascii="Times New Roman" w:hAnsi="Times New Roman" w:eastAsia="仿宋_GB2312"/>
                <w:color w:val="000000"/>
                <w:kern w:val="0"/>
                <w:sz w:val="20"/>
                <w:szCs w:val="20"/>
                <w:lang w:eastAsia="zh-CN"/>
              </w:rPr>
            </w:pPr>
            <w:r>
              <w:rPr>
                <w:rFonts w:hint="eastAsia" w:ascii="Times New Roman" w:hAnsi="Times New Roman" w:eastAsia="仿宋_GB2312"/>
                <w:color w:val="000000"/>
                <w:kern w:val="0"/>
                <w:sz w:val="20"/>
                <w:szCs w:val="20"/>
                <w:lang w:eastAsia="zh-CN"/>
              </w:rPr>
              <w:t>房屋设计方案</w:t>
            </w:r>
          </w:p>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设计收费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具有建筑设计资质机构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auto"/>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auto"/>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建设项目用地范围地形图</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仿宋_GB2312" w:hAnsi="宋体" w:eastAsia="仿宋_GB2312" w:cs="仿宋_GB2312"/>
                <w:kern w:val="0"/>
                <w:sz w:val="20"/>
                <w:szCs w:val="20"/>
              </w:rPr>
              <w:t>地形</w:t>
            </w:r>
            <w:r>
              <w:rPr>
                <w:rFonts w:hint="eastAsia" w:ascii="仿宋_GB2312" w:hAnsi="宋体" w:eastAsia="仿宋_GB2312" w:cs="仿宋_GB2312"/>
                <w:kern w:val="0"/>
                <w:sz w:val="20"/>
                <w:szCs w:val="20"/>
                <w:lang w:eastAsia="zh-CN"/>
              </w:rPr>
              <w:t>图</w:t>
            </w:r>
            <w:r>
              <w:rPr>
                <w:rFonts w:hint="eastAsia" w:ascii="仿宋_GB2312" w:hAnsi="宋体" w:eastAsia="仿宋_GB2312" w:cs="仿宋_GB2312"/>
                <w:kern w:val="0"/>
                <w:sz w:val="20"/>
                <w:szCs w:val="20"/>
              </w:rPr>
              <w:t>测量收费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具有测绘资质机构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8"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auto"/>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auto"/>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建设工程设计方案3份（含电子文件）</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仿宋_GB2312" w:hAnsi="宋体" w:eastAsia="仿宋_GB2312" w:cs="仿宋_GB2312"/>
                <w:kern w:val="0"/>
                <w:sz w:val="20"/>
                <w:szCs w:val="20"/>
              </w:rPr>
              <w:t>建设工程设计方案设计收费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具有建筑设计资质机构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97"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5</w:t>
            </w:r>
          </w:p>
        </w:tc>
        <w:tc>
          <w:tcPr>
            <w:tcW w:w="557" w:type="pct"/>
            <w:shd w:val="clear" w:color="auto" w:fill="FFFFFF"/>
            <w:noWrap w:val="0"/>
            <w:vAlign w:val="center"/>
          </w:tcPr>
          <w:p>
            <w:pPr>
              <w:widowControl/>
              <w:jc w:val="center"/>
              <w:rPr>
                <w:rFonts w:hint="default" w:ascii="Times New Roman" w:hAnsi="Times New Roman" w:eastAsia="仿宋_GB2312"/>
                <w:color w:val="000000"/>
                <w:kern w:val="0"/>
                <w:sz w:val="20"/>
                <w:szCs w:val="20"/>
                <w:lang w:val="en"/>
              </w:rPr>
            </w:pPr>
            <w:r>
              <w:rPr>
                <w:rFonts w:ascii="Times New Roman" w:hAnsi="Times New Roman" w:eastAsia="仿宋_GB2312"/>
                <w:color w:val="000000"/>
                <w:kern w:val="0"/>
                <w:sz w:val="20"/>
                <w:szCs w:val="20"/>
              </w:rPr>
              <w:t>市</w:t>
            </w:r>
            <w:r>
              <w:rPr>
                <w:rFonts w:ascii="Times New Roman" w:hAnsi="Times New Roman" w:eastAsia="仿宋_GB2312"/>
                <w:color w:val="000000"/>
                <w:kern w:val="0"/>
                <w:sz w:val="20"/>
                <w:szCs w:val="20"/>
                <w:lang w:val="en"/>
              </w:rPr>
              <w:t>规划和自然资源局</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建设用地、临时建设用地规划许可</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核定用地图2份（含SHP和DWG格式数据）、划拨宗地平面界限图5份（含2000坐标的SHP格式数据）</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核定用地测量收费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具有测绘资质机构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6</w:t>
            </w:r>
          </w:p>
        </w:tc>
        <w:tc>
          <w:tcPr>
            <w:tcW w:w="557"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市交通运输委</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涉路施工许可</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保障公路、公路附属设施质量和安全的技术评价报告</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技术评价服务收费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工程咨询机构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7" w:type="pct"/>
            <w:vMerge w:val="restar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7</w:t>
            </w:r>
          </w:p>
        </w:tc>
        <w:tc>
          <w:tcPr>
            <w:tcW w:w="557" w:type="pct"/>
            <w:vMerge w:val="restar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市金融局</w:t>
            </w:r>
          </w:p>
        </w:tc>
        <w:tc>
          <w:tcPr>
            <w:tcW w:w="570" w:type="pct"/>
            <w:vMerge w:val="restar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委托滨海新区金融局实施</w:t>
            </w:r>
          </w:p>
        </w:tc>
        <w:tc>
          <w:tcPr>
            <w:tcW w:w="977" w:type="pct"/>
            <w:vMerge w:val="restar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设立典当行及分支机构审批</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具有法定资格的会计师事务所出具的法人股东财务审计报告</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审计费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auto"/>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auto"/>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具有法定资格的验资机构出具的验资证明</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验资费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auto"/>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auto"/>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具有法定资格的会计师事务所出具的法人股东出资能力证明</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仿宋_GB2312" w:hAnsi="宋体" w:eastAsia="仿宋_GB2312" w:cs="仿宋_GB2312"/>
                <w:kern w:val="0"/>
                <w:sz w:val="20"/>
                <w:szCs w:val="20"/>
              </w:rPr>
              <w:t>审计费、</w:t>
            </w:r>
            <w:r>
              <w:rPr>
                <w:rFonts w:ascii="仿宋_GB2312" w:hAnsi="宋体" w:eastAsia="仿宋_GB2312" w:cs="仿宋_GB2312"/>
                <w:kern w:val="0"/>
                <w:sz w:val="20"/>
                <w:szCs w:val="20"/>
              </w:rPr>
              <w:t xml:space="preserve">  </w:t>
            </w:r>
            <w:r>
              <w:rPr>
                <w:rFonts w:hint="eastAsia" w:ascii="仿宋_GB2312" w:hAnsi="宋体" w:eastAsia="仿宋_GB2312" w:cs="仿宋_GB2312"/>
                <w:kern w:val="0"/>
                <w:sz w:val="20"/>
                <w:szCs w:val="20"/>
              </w:rPr>
              <w:t>验资费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auto"/>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auto"/>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具有法定资格的会计师事务所出具的该典当行最近两年的财务会计报告</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仿宋_GB2312" w:hAnsi="宋体" w:eastAsia="仿宋_GB2312" w:cs="仿宋_GB2312"/>
                <w:kern w:val="0"/>
                <w:sz w:val="20"/>
                <w:szCs w:val="20"/>
              </w:rPr>
              <w:t>审计费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auto"/>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auto"/>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营运资金拨付证明</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仿宋_GB2312" w:hAnsi="宋体" w:eastAsia="仿宋_GB2312" w:cs="仿宋_GB2312"/>
                <w:kern w:val="0"/>
                <w:sz w:val="20"/>
                <w:szCs w:val="20"/>
              </w:rPr>
              <w:t>审计费、</w:t>
            </w:r>
            <w:r>
              <w:rPr>
                <w:rFonts w:ascii="仿宋_GB2312" w:hAnsi="宋体" w:eastAsia="仿宋_GB2312" w:cs="仿宋_GB2312"/>
                <w:kern w:val="0"/>
                <w:sz w:val="20"/>
                <w:szCs w:val="20"/>
              </w:rPr>
              <w:t xml:space="preserve">  </w:t>
            </w:r>
            <w:r>
              <w:rPr>
                <w:rFonts w:hint="eastAsia" w:ascii="仿宋_GB2312" w:hAnsi="宋体" w:eastAsia="仿宋_GB2312" w:cs="仿宋_GB2312"/>
                <w:kern w:val="0"/>
                <w:sz w:val="20"/>
                <w:szCs w:val="20"/>
              </w:rPr>
              <w:t>验资费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197" w:type="pct"/>
            <w:vMerge w:val="restar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8</w:t>
            </w:r>
          </w:p>
        </w:tc>
        <w:tc>
          <w:tcPr>
            <w:tcW w:w="557" w:type="pct"/>
            <w:vMerge w:val="restar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市金融局</w:t>
            </w:r>
          </w:p>
        </w:tc>
        <w:tc>
          <w:tcPr>
            <w:tcW w:w="570" w:type="pct"/>
            <w:vMerge w:val="restart"/>
            <w:shd w:val="clear" w:color="auto" w:fill="FFFFFF"/>
            <w:noWrap w:val="0"/>
            <w:vAlign w:val="center"/>
          </w:tcPr>
          <w:p>
            <w:pPr>
              <w:widowControl/>
              <w:spacing w:line="320" w:lineRule="exact"/>
              <w:rPr>
                <w:rFonts w:ascii="Times New Roman" w:hAnsi="Times New Roman" w:eastAsia="仿宋_GB2312"/>
                <w:kern w:val="0"/>
                <w:sz w:val="20"/>
                <w:szCs w:val="20"/>
              </w:rPr>
            </w:pPr>
            <w:r>
              <w:rPr>
                <w:rFonts w:eastAsia="仿宋_GB2312"/>
                <w:color w:val="000000"/>
                <w:kern w:val="0"/>
                <w:sz w:val="20"/>
                <w:szCs w:val="20"/>
                <w:lang w:bidi="ar"/>
              </w:rPr>
              <w:t>委托滨海新区金融局实施</w:t>
            </w:r>
          </w:p>
        </w:tc>
        <w:tc>
          <w:tcPr>
            <w:tcW w:w="977" w:type="pct"/>
            <w:vMerge w:val="restar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融资担保公司设立、合并、分立、减少注册资本及跨省设立分支机构审批</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出资人基本情况（</w:t>
            </w:r>
            <w:r>
              <w:rPr>
                <w:rFonts w:ascii="Times New Roman" w:hAnsi="Times New Roman" w:eastAsia="仿宋_GB2312"/>
                <w:color w:val="000000"/>
                <w:kern w:val="0"/>
                <w:sz w:val="20"/>
                <w:szCs w:val="20"/>
              </w:rPr>
              <w:t>具有相应资质的会计师事务所出具的近3年财务审计报告</w:t>
            </w:r>
            <w:r>
              <w:rPr>
                <w:rFonts w:hint="eastAsia" w:ascii="Times New Roman" w:hAnsi="Times New Roman" w:eastAsia="仿宋_GB2312"/>
                <w:color w:val="000000"/>
                <w:kern w:val="0"/>
                <w:sz w:val="20"/>
                <w:szCs w:val="20"/>
              </w:rPr>
              <w:t>）</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仿宋_GB2312" w:hAnsi="宋体" w:eastAsia="仿宋_GB2312" w:cs="仿宋_GB2312"/>
                <w:kern w:val="0"/>
                <w:sz w:val="20"/>
                <w:szCs w:val="20"/>
              </w:rPr>
              <w:t>审计费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auto"/>
            <w:noWrap w:val="0"/>
            <w:vAlign w:val="center"/>
          </w:tcPr>
          <w:p>
            <w:pPr>
              <w:widowControl/>
              <w:spacing w:line="320" w:lineRule="exact"/>
              <w:rPr>
                <w:rFonts w:ascii="Times New Roman" w:hAnsi="Times New Roman" w:eastAsia="仿宋_GB2312"/>
                <w:kern w:val="0"/>
                <w:sz w:val="20"/>
                <w:szCs w:val="20"/>
              </w:rPr>
            </w:pPr>
          </w:p>
        </w:tc>
        <w:tc>
          <w:tcPr>
            <w:tcW w:w="977" w:type="pct"/>
            <w:vMerge w:val="continue"/>
            <w:shd w:val="clear" w:color="auto" w:fill="auto"/>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出资人基本情况（</w:t>
            </w:r>
            <w:r>
              <w:rPr>
                <w:rFonts w:ascii="Times New Roman" w:hAnsi="Times New Roman" w:eastAsia="仿宋_GB2312"/>
                <w:color w:val="000000"/>
                <w:kern w:val="0"/>
                <w:sz w:val="20"/>
                <w:szCs w:val="20"/>
              </w:rPr>
              <w:t>专业信用评级机构出具的出资能力评估报告</w:t>
            </w:r>
            <w:r>
              <w:rPr>
                <w:rFonts w:hint="eastAsia" w:ascii="Times New Roman" w:hAnsi="Times New Roman" w:eastAsia="仿宋_GB2312"/>
                <w:color w:val="000000"/>
                <w:kern w:val="0"/>
                <w:sz w:val="20"/>
                <w:szCs w:val="20"/>
              </w:rPr>
              <w:t>）</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仿宋_GB2312" w:hAnsi="宋体" w:eastAsia="仿宋_GB2312" w:cs="仿宋_GB2312"/>
                <w:kern w:val="0"/>
                <w:sz w:val="20"/>
                <w:szCs w:val="20"/>
              </w:rPr>
              <w:t>评级费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专业信用评级机构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auto"/>
            <w:noWrap w:val="0"/>
            <w:vAlign w:val="center"/>
          </w:tcPr>
          <w:p>
            <w:pPr>
              <w:widowControl/>
              <w:spacing w:line="320" w:lineRule="exact"/>
              <w:rPr>
                <w:rFonts w:ascii="Times New Roman" w:hAnsi="Times New Roman" w:eastAsia="仿宋_GB2312"/>
                <w:kern w:val="0"/>
                <w:sz w:val="20"/>
                <w:szCs w:val="20"/>
              </w:rPr>
            </w:pPr>
          </w:p>
        </w:tc>
        <w:tc>
          <w:tcPr>
            <w:tcW w:w="977" w:type="pct"/>
            <w:vMerge w:val="continue"/>
            <w:shd w:val="clear" w:color="auto" w:fill="auto"/>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具有资质的会计师事务所出具的验资报告</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仿宋_GB2312" w:hAnsi="宋体" w:eastAsia="仿宋_GB2312" w:cs="仿宋_GB2312"/>
                <w:kern w:val="0"/>
                <w:sz w:val="20"/>
                <w:szCs w:val="20"/>
              </w:rPr>
              <w:t>验资费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auto"/>
            <w:noWrap w:val="0"/>
            <w:vAlign w:val="center"/>
          </w:tcPr>
          <w:p>
            <w:pPr>
              <w:widowControl/>
              <w:spacing w:line="320" w:lineRule="exact"/>
              <w:rPr>
                <w:rFonts w:ascii="Times New Roman" w:hAnsi="Times New Roman" w:eastAsia="仿宋_GB2312"/>
                <w:kern w:val="0"/>
                <w:sz w:val="20"/>
                <w:szCs w:val="20"/>
              </w:rPr>
            </w:pPr>
          </w:p>
        </w:tc>
        <w:tc>
          <w:tcPr>
            <w:tcW w:w="977" w:type="pct"/>
            <w:vMerge w:val="continue"/>
            <w:shd w:val="clear" w:color="auto" w:fill="auto"/>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具有相应资质的会计师事务所出具的近3年财务审计报告</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仿宋_GB2312" w:hAnsi="宋体" w:eastAsia="仿宋_GB2312" w:cs="仿宋_GB2312"/>
                <w:kern w:val="0"/>
                <w:sz w:val="20"/>
                <w:szCs w:val="20"/>
              </w:rPr>
              <w:t>审计费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3"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9</w:t>
            </w:r>
          </w:p>
        </w:tc>
        <w:tc>
          <w:tcPr>
            <w:tcW w:w="557"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市商务局</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委托滨海新区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r>
              <w:rPr>
                <w:rFonts w:eastAsia="仿宋_GB2312"/>
                <w:color w:val="000000"/>
                <w:kern w:val="0"/>
                <w:sz w:val="20"/>
                <w:szCs w:val="20"/>
                <w:lang w:bidi="ar"/>
              </w:rPr>
              <w:t>实施</w:t>
            </w:r>
            <w:r>
              <w:rPr>
                <w:rFonts w:hint="eastAsia" w:eastAsia="仿宋_GB2312"/>
                <w:color w:val="000000"/>
                <w:kern w:val="0"/>
                <w:sz w:val="20"/>
                <w:szCs w:val="20"/>
                <w:lang w:bidi="ar"/>
              </w:rPr>
              <w:t>（各区有关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r>
              <w:rPr>
                <w:rFonts w:eastAsia="仿宋_GB2312"/>
                <w:color w:val="000000"/>
                <w:kern w:val="0"/>
                <w:sz w:val="20"/>
                <w:szCs w:val="20"/>
                <w:lang w:bidi="ar"/>
              </w:rPr>
              <w:t>受理</w:t>
            </w:r>
            <w:r>
              <w:rPr>
                <w:rFonts w:hint="eastAsia" w:eastAsia="仿宋_GB2312"/>
                <w:color w:val="000000"/>
                <w:kern w:val="0"/>
                <w:sz w:val="20"/>
                <w:szCs w:val="20"/>
                <w:lang w:bidi="ar"/>
              </w:rPr>
              <w:t>）</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从事拍卖业务许可</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最近两年经会计师事务所审计的年度财务会计报表</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仿宋_GB2312" w:hAnsi="宋体" w:eastAsia="仿宋_GB2312" w:cs="仿宋_GB2312"/>
                <w:kern w:val="0"/>
                <w:sz w:val="20"/>
                <w:szCs w:val="20"/>
              </w:rPr>
              <w:t>审计费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10</w:t>
            </w:r>
          </w:p>
        </w:tc>
        <w:tc>
          <w:tcPr>
            <w:tcW w:w="557"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市商务局</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委托滨海新区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r>
              <w:rPr>
                <w:rFonts w:eastAsia="仿宋_GB2312"/>
                <w:color w:val="000000"/>
                <w:kern w:val="0"/>
                <w:sz w:val="20"/>
                <w:szCs w:val="20"/>
                <w:lang w:bidi="ar"/>
              </w:rPr>
              <w:t>实施</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对外劳务合作经营资格核准</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企业验资报告</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验资费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trPr>
        <w:tc>
          <w:tcPr>
            <w:tcW w:w="197"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11</w:t>
            </w:r>
          </w:p>
        </w:tc>
        <w:tc>
          <w:tcPr>
            <w:tcW w:w="557"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市水务局</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r>
              <w:rPr>
                <w:rFonts w:eastAsia="仿宋_GB2312"/>
                <w:color w:val="000000"/>
                <w:kern w:val="0"/>
                <w:sz w:val="20"/>
                <w:szCs w:val="20"/>
                <w:lang w:bidi="ar"/>
              </w:rPr>
              <w:t>（除市内六区）</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水利基建项目初步设计文件审批</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初步设计报告</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勘察设计费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具有相应资质的设计单位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2"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12</w:t>
            </w:r>
          </w:p>
        </w:tc>
        <w:tc>
          <w:tcPr>
            <w:tcW w:w="557"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市市场监管委</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各区</w:t>
            </w:r>
            <w:r>
              <w:rPr>
                <w:rFonts w:hint="eastAsia" w:ascii="Times New Roman" w:hAnsi="Times New Roman" w:eastAsia="仿宋_GB2312"/>
                <w:color w:val="000000"/>
                <w:kern w:val="0"/>
                <w:sz w:val="20"/>
                <w:szCs w:val="20"/>
              </w:rPr>
              <w:t>有关</w:t>
            </w:r>
            <w:r>
              <w:rPr>
                <w:rFonts w:ascii="Times New Roman" w:hAnsi="Times New Roman" w:eastAsia="仿宋_GB2312"/>
                <w:color w:val="000000"/>
                <w:kern w:val="0"/>
                <w:sz w:val="20"/>
                <w:szCs w:val="20"/>
              </w:rPr>
              <w:t>行政审批</w:t>
            </w:r>
            <w:r>
              <w:rPr>
                <w:rFonts w:hint="eastAsia" w:ascii="Times New Roman" w:hAnsi="Times New Roman" w:eastAsia="仿宋_GB2312"/>
                <w:color w:val="000000"/>
                <w:kern w:val="0"/>
                <w:sz w:val="20"/>
                <w:szCs w:val="20"/>
              </w:rPr>
              <w:t>主管部门</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企业登记注册</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募集设立的股份有限公司提交依法设立的验资机构出具的验资证明</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验资费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97" w:type="pct"/>
            <w:vMerge w:val="restar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1</w:t>
            </w:r>
            <w:r>
              <w:rPr>
                <w:rFonts w:hint="eastAsia" w:ascii="Times New Roman" w:hAnsi="Times New Roman" w:eastAsia="仿宋_GB2312"/>
                <w:color w:val="000000"/>
                <w:kern w:val="0"/>
                <w:sz w:val="20"/>
                <w:szCs w:val="20"/>
              </w:rPr>
              <w:t>3</w:t>
            </w:r>
          </w:p>
        </w:tc>
        <w:tc>
          <w:tcPr>
            <w:tcW w:w="557" w:type="pct"/>
            <w:vMerge w:val="restart"/>
            <w:shd w:val="clear" w:color="auto" w:fill="FFFFFF"/>
            <w:noWrap w:val="0"/>
            <w:vAlign w:val="center"/>
          </w:tcPr>
          <w:p>
            <w:pPr>
              <w:widowControl/>
              <w:jc w:val="center"/>
              <w:rPr>
                <w:rFonts w:ascii="Times New Roman" w:hAnsi="Times New Roman" w:eastAsia="仿宋_GB2312"/>
                <w:kern w:val="0"/>
                <w:sz w:val="20"/>
                <w:szCs w:val="20"/>
              </w:rPr>
            </w:pPr>
            <w:r>
              <w:rPr>
                <w:rFonts w:ascii="Times New Roman" w:hAnsi="Times New Roman" w:eastAsia="仿宋_GB2312"/>
                <w:kern w:val="0"/>
                <w:sz w:val="20"/>
                <w:szCs w:val="20"/>
              </w:rPr>
              <w:t>市卫生健康委</w:t>
            </w:r>
          </w:p>
        </w:tc>
        <w:tc>
          <w:tcPr>
            <w:tcW w:w="570" w:type="pct"/>
            <w:vMerge w:val="restar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p>
        </w:tc>
        <w:tc>
          <w:tcPr>
            <w:tcW w:w="977" w:type="pct"/>
            <w:vMerge w:val="restar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kern w:val="0"/>
                <w:sz w:val="20"/>
                <w:szCs w:val="20"/>
              </w:rPr>
              <w:t>医疗机构建设项目放射性职业病防护设施竣工验收</w:t>
            </w:r>
          </w:p>
        </w:tc>
        <w:tc>
          <w:tcPr>
            <w:tcW w:w="1042" w:type="pct"/>
            <w:shd w:val="clear" w:color="auto" w:fill="FFFFFF"/>
            <w:noWrap w:val="0"/>
            <w:vAlign w:val="center"/>
          </w:tcPr>
          <w:p>
            <w:pPr>
              <w:widowControl/>
              <w:spacing w:line="320" w:lineRule="exact"/>
              <w:rPr>
                <w:rFonts w:ascii="Times New Roman" w:hAnsi="Times New Roman" w:eastAsia="仿宋_GB2312"/>
                <w:kern w:val="0"/>
                <w:sz w:val="20"/>
                <w:szCs w:val="20"/>
              </w:rPr>
            </w:pPr>
            <w:r>
              <w:rPr>
                <w:rFonts w:ascii="Times New Roman" w:hAnsi="Times New Roman" w:eastAsia="仿宋_GB2312"/>
                <w:kern w:val="0"/>
                <w:sz w:val="20"/>
                <w:szCs w:val="20"/>
              </w:rPr>
              <w:t>职业病危害预评价报告书（表）</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kern w:val="0"/>
                <w:sz w:val="20"/>
                <w:szCs w:val="20"/>
                <w:highlight w:val="none"/>
                <w:lang w:eastAsia="zh-CN"/>
              </w:rPr>
              <w:t>检测费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放射卫生评价机构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auto"/>
            <w:noWrap w:val="0"/>
            <w:vAlign w:val="center"/>
          </w:tcPr>
          <w:p>
            <w:pPr>
              <w:widowControl/>
              <w:jc w:val="center"/>
              <w:rPr>
                <w:rFonts w:ascii="Times New Roman" w:hAnsi="Times New Roman" w:eastAsia="仿宋_GB2312"/>
                <w:kern w:val="0"/>
                <w:sz w:val="20"/>
                <w:szCs w:val="20"/>
              </w:rPr>
            </w:pPr>
          </w:p>
        </w:tc>
        <w:tc>
          <w:tcPr>
            <w:tcW w:w="570" w:type="pct"/>
            <w:vMerge w:val="continue"/>
            <w:shd w:val="clear" w:color="auto" w:fill="auto"/>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auto"/>
            <w:noWrap w:val="0"/>
            <w:vAlign w:val="center"/>
          </w:tcPr>
          <w:p>
            <w:pPr>
              <w:widowControl/>
              <w:rPr>
                <w:rFonts w:ascii="Times New Roman" w:hAnsi="Times New Roman" w:eastAsia="仿宋_GB2312"/>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kern w:val="0"/>
                <w:sz w:val="20"/>
                <w:szCs w:val="20"/>
              </w:rPr>
            </w:pPr>
            <w:r>
              <w:rPr>
                <w:rFonts w:ascii="Times New Roman" w:hAnsi="Times New Roman" w:eastAsia="仿宋_GB2312"/>
                <w:kern w:val="0"/>
                <w:sz w:val="20"/>
                <w:szCs w:val="20"/>
              </w:rPr>
              <w:t>放射诊疗建设项目职业病危害控制效果放射防护评价报告</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kern w:val="0"/>
                <w:sz w:val="20"/>
                <w:szCs w:val="20"/>
                <w:highlight w:val="none"/>
                <w:lang w:eastAsia="zh-CN"/>
              </w:rPr>
              <w:t>检测费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放射卫生评价机构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1</w:t>
            </w:r>
            <w:r>
              <w:rPr>
                <w:rFonts w:hint="eastAsia" w:ascii="Times New Roman" w:hAnsi="Times New Roman" w:eastAsia="仿宋_GB2312"/>
                <w:color w:val="000000"/>
                <w:kern w:val="0"/>
                <w:sz w:val="20"/>
                <w:szCs w:val="20"/>
              </w:rPr>
              <w:t>4</w:t>
            </w:r>
          </w:p>
        </w:tc>
        <w:tc>
          <w:tcPr>
            <w:tcW w:w="557"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kern w:val="0"/>
                <w:sz w:val="20"/>
                <w:szCs w:val="20"/>
              </w:rPr>
              <w:t>不涉及</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p>
        </w:tc>
        <w:tc>
          <w:tcPr>
            <w:tcW w:w="977"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kern w:val="0"/>
                <w:sz w:val="20"/>
                <w:szCs w:val="20"/>
              </w:rPr>
              <w:t>饮用水</w:t>
            </w:r>
            <w:r>
              <w:rPr>
                <w:rFonts w:ascii="Times New Roman" w:hAnsi="Times New Roman" w:eastAsia="仿宋_GB2312"/>
                <w:kern w:val="0"/>
                <w:sz w:val="20"/>
                <w:szCs w:val="20"/>
              </w:rPr>
              <w:t>供水单位卫生许可</w:t>
            </w:r>
          </w:p>
        </w:tc>
        <w:tc>
          <w:tcPr>
            <w:tcW w:w="1042" w:type="pct"/>
            <w:shd w:val="clear" w:color="auto" w:fill="FFFFFF"/>
            <w:noWrap w:val="0"/>
            <w:vAlign w:val="center"/>
          </w:tcPr>
          <w:p>
            <w:pPr>
              <w:widowControl/>
              <w:spacing w:line="320" w:lineRule="exact"/>
              <w:rPr>
                <w:rFonts w:ascii="Times New Roman" w:hAnsi="Times New Roman" w:eastAsia="仿宋_GB2312"/>
                <w:kern w:val="0"/>
                <w:sz w:val="20"/>
                <w:szCs w:val="20"/>
              </w:rPr>
            </w:pPr>
            <w:r>
              <w:rPr>
                <w:rFonts w:ascii="Times New Roman" w:hAnsi="Times New Roman" w:eastAsia="仿宋_GB2312"/>
                <w:kern w:val="0"/>
                <w:sz w:val="20"/>
                <w:szCs w:val="20"/>
              </w:rPr>
              <w:t>水源水和出厂水的水质检测报告</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kern w:val="0"/>
                <w:sz w:val="20"/>
                <w:szCs w:val="20"/>
                <w:highlight w:val="none"/>
                <w:lang w:eastAsia="zh-CN"/>
              </w:rPr>
              <w:t>检测费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水质检测和涉水产品检验机构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1</w:t>
            </w:r>
            <w:r>
              <w:rPr>
                <w:rFonts w:hint="eastAsia" w:ascii="Times New Roman" w:hAnsi="Times New Roman" w:eastAsia="仿宋_GB2312"/>
                <w:color w:val="000000"/>
                <w:kern w:val="0"/>
                <w:sz w:val="20"/>
                <w:szCs w:val="20"/>
              </w:rPr>
              <w:t>5</w:t>
            </w:r>
          </w:p>
        </w:tc>
        <w:tc>
          <w:tcPr>
            <w:tcW w:w="557" w:type="pct"/>
            <w:shd w:val="clear" w:color="auto" w:fill="FFFFFF"/>
            <w:noWrap w:val="0"/>
            <w:vAlign w:val="center"/>
          </w:tcPr>
          <w:p>
            <w:pPr>
              <w:widowControl/>
              <w:jc w:val="center"/>
              <w:rPr>
                <w:rFonts w:ascii="Times New Roman" w:hAnsi="Times New Roman" w:eastAsia="仿宋_GB2312"/>
                <w:kern w:val="0"/>
                <w:sz w:val="20"/>
                <w:szCs w:val="20"/>
              </w:rPr>
            </w:pPr>
            <w:r>
              <w:rPr>
                <w:rFonts w:ascii="Times New Roman" w:hAnsi="Times New Roman" w:eastAsia="仿宋_GB2312"/>
                <w:kern w:val="0"/>
                <w:sz w:val="20"/>
                <w:szCs w:val="20"/>
              </w:rPr>
              <w:t>市卫生健康委</w:t>
            </w:r>
          </w:p>
        </w:tc>
        <w:tc>
          <w:tcPr>
            <w:tcW w:w="570" w:type="pct"/>
            <w:shd w:val="clear" w:color="auto" w:fill="FFFFFF"/>
            <w:noWrap w:val="0"/>
            <w:vAlign w:val="center"/>
          </w:tcPr>
          <w:p>
            <w:pPr>
              <w:widowControl/>
              <w:spacing w:line="320" w:lineRule="exact"/>
              <w:rPr>
                <w:rFonts w:ascii="Times New Roman" w:hAnsi="Times New Roman" w:eastAsia="仿宋_GB2312"/>
                <w:kern w:val="0"/>
                <w:sz w:val="20"/>
                <w:szCs w:val="20"/>
              </w:rPr>
            </w:pPr>
            <w:r>
              <w:rPr>
                <w:rFonts w:eastAsia="仿宋_GB2312"/>
                <w:color w:val="000000"/>
                <w:kern w:val="0"/>
                <w:sz w:val="20"/>
                <w:szCs w:val="20"/>
                <w:lang w:bidi="ar"/>
              </w:rPr>
              <w:t>委托滨海新区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r>
              <w:rPr>
                <w:rFonts w:eastAsia="仿宋_GB2312"/>
                <w:color w:val="000000"/>
                <w:kern w:val="0"/>
                <w:sz w:val="20"/>
                <w:szCs w:val="20"/>
                <w:lang w:bidi="ar"/>
              </w:rPr>
              <w:t>实施</w:t>
            </w:r>
          </w:p>
        </w:tc>
        <w:tc>
          <w:tcPr>
            <w:tcW w:w="977"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kern w:val="0"/>
                <w:sz w:val="20"/>
                <w:szCs w:val="20"/>
              </w:rPr>
              <w:t>涉及饮用水卫生安全的产品卫生许可</w:t>
            </w:r>
          </w:p>
        </w:tc>
        <w:tc>
          <w:tcPr>
            <w:tcW w:w="1042" w:type="pct"/>
            <w:shd w:val="clear" w:color="auto" w:fill="FFFFFF"/>
            <w:noWrap w:val="0"/>
            <w:vAlign w:val="center"/>
          </w:tcPr>
          <w:p>
            <w:pPr>
              <w:widowControl/>
              <w:spacing w:line="320" w:lineRule="exact"/>
              <w:rPr>
                <w:rFonts w:ascii="Times New Roman" w:hAnsi="Times New Roman" w:eastAsia="仿宋_GB2312"/>
                <w:kern w:val="0"/>
                <w:sz w:val="20"/>
                <w:szCs w:val="20"/>
              </w:rPr>
            </w:pPr>
            <w:r>
              <w:rPr>
                <w:rFonts w:ascii="Times New Roman" w:hAnsi="Times New Roman" w:eastAsia="仿宋_GB2312"/>
                <w:kern w:val="0"/>
                <w:sz w:val="20"/>
                <w:szCs w:val="20"/>
              </w:rPr>
              <w:t>产品检验报告</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kern w:val="0"/>
                <w:sz w:val="20"/>
                <w:szCs w:val="20"/>
                <w:highlight w:val="none"/>
                <w:lang w:eastAsia="zh-CN"/>
              </w:rPr>
              <w:t>检测费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水质检测和涉水产品检验机构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1</w:t>
            </w:r>
            <w:r>
              <w:rPr>
                <w:rFonts w:hint="eastAsia" w:ascii="Times New Roman" w:hAnsi="Times New Roman" w:eastAsia="仿宋_GB2312"/>
                <w:color w:val="000000"/>
                <w:kern w:val="0"/>
                <w:sz w:val="20"/>
                <w:szCs w:val="20"/>
              </w:rPr>
              <w:t>6</w:t>
            </w:r>
          </w:p>
        </w:tc>
        <w:tc>
          <w:tcPr>
            <w:tcW w:w="557"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kern w:val="0"/>
                <w:sz w:val="20"/>
                <w:szCs w:val="20"/>
              </w:rPr>
              <w:t>不涉及</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p>
        </w:tc>
        <w:tc>
          <w:tcPr>
            <w:tcW w:w="977"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kern w:val="0"/>
                <w:sz w:val="20"/>
                <w:szCs w:val="20"/>
              </w:rPr>
              <w:t>公共场所卫生许可</w:t>
            </w:r>
          </w:p>
        </w:tc>
        <w:tc>
          <w:tcPr>
            <w:tcW w:w="1042" w:type="pct"/>
            <w:shd w:val="clear" w:color="auto" w:fill="FFFFFF"/>
            <w:noWrap w:val="0"/>
            <w:vAlign w:val="center"/>
          </w:tcPr>
          <w:p>
            <w:pPr>
              <w:widowControl/>
              <w:spacing w:line="320" w:lineRule="exact"/>
              <w:rPr>
                <w:rFonts w:ascii="Times New Roman" w:hAnsi="Times New Roman" w:eastAsia="仿宋_GB2312"/>
                <w:kern w:val="0"/>
                <w:sz w:val="20"/>
                <w:szCs w:val="20"/>
              </w:rPr>
            </w:pPr>
            <w:r>
              <w:rPr>
                <w:rFonts w:ascii="Times New Roman" w:hAnsi="Times New Roman" w:eastAsia="仿宋_GB2312"/>
                <w:kern w:val="0"/>
                <w:sz w:val="20"/>
                <w:szCs w:val="20"/>
              </w:rPr>
              <w:t>卫生检测报告</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kern w:val="0"/>
                <w:sz w:val="20"/>
                <w:szCs w:val="20"/>
                <w:highlight w:val="none"/>
                <w:lang w:eastAsia="zh-CN"/>
              </w:rPr>
              <w:t>检测费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公共场所卫生检测机构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1</w:t>
            </w:r>
            <w:r>
              <w:rPr>
                <w:rFonts w:hint="eastAsia" w:ascii="Times New Roman" w:hAnsi="Times New Roman" w:eastAsia="仿宋_GB2312"/>
                <w:color w:val="000000"/>
                <w:kern w:val="0"/>
                <w:sz w:val="20"/>
                <w:szCs w:val="20"/>
              </w:rPr>
              <w:t>7</w:t>
            </w:r>
          </w:p>
        </w:tc>
        <w:tc>
          <w:tcPr>
            <w:tcW w:w="557" w:type="pct"/>
            <w:shd w:val="clear" w:color="auto" w:fill="FFFFFF"/>
            <w:noWrap w:val="0"/>
            <w:vAlign w:val="center"/>
          </w:tcPr>
          <w:p>
            <w:pPr>
              <w:widowControl/>
              <w:jc w:val="center"/>
              <w:rPr>
                <w:rFonts w:ascii="Times New Roman" w:hAnsi="Times New Roman" w:eastAsia="仿宋_GB2312"/>
                <w:kern w:val="0"/>
                <w:sz w:val="20"/>
                <w:szCs w:val="20"/>
              </w:rPr>
            </w:pPr>
            <w:r>
              <w:rPr>
                <w:rFonts w:ascii="Times New Roman" w:hAnsi="Times New Roman" w:eastAsia="仿宋_GB2312"/>
                <w:kern w:val="0"/>
                <w:sz w:val="20"/>
                <w:szCs w:val="20"/>
              </w:rPr>
              <w:t>市卫生健康委</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委托滨海新区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r>
              <w:rPr>
                <w:rFonts w:eastAsia="仿宋_GB2312"/>
                <w:color w:val="000000"/>
                <w:kern w:val="0"/>
                <w:sz w:val="20"/>
                <w:szCs w:val="20"/>
                <w:lang w:bidi="ar"/>
              </w:rPr>
              <w:t>实施</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消毒产品生产单位审批</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生产环境和生产用水检测报告</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kern w:val="0"/>
                <w:sz w:val="20"/>
                <w:szCs w:val="20"/>
                <w:highlight w:val="none"/>
                <w:lang w:eastAsia="zh-CN"/>
              </w:rPr>
              <w:t>检测费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消毒产品生产环境和生产用水检测报告编制机构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1</w:t>
            </w:r>
            <w:r>
              <w:rPr>
                <w:rFonts w:hint="eastAsia" w:ascii="Times New Roman" w:hAnsi="Times New Roman" w:eastAsia="仿宋_GB2312"/>
                <w:color w:val="000000"/>
                <w:kern w:val="0"/>
                <w:sz w:val="20"/>
                <w:szCs w:val="20"/>
              </w:rPr>
              <w:t>8</w:t>
            </w:r>
          </w:p>
        </w:tc>
        <w:tc>
          <w:tcPr>
            <w:tcW w:w="557"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eastAsia="仿宋_GB2312"/>
                <w:color w:val="000000"/>
                <w:kern w:val="0"/>
                <w:sz w:val="20"/>
                <w:szCs w:val="20"/>
                <w:lang w:bidi="ar"/>
              </w:rPr>
              <w:t>市政府（</w:t>
            </w:r>
            <w:r>
              <w:rPr>
                <w:rFonts w:ascii="Times New Roman" w:hAnsi="Times New Roman" w:eastAsia="仿宋_GB2312"/>
                <w:color w:val="000000"/>
                <w:kern w:val="0"/>
                <w:sz w:val="20"/>
                <w:szCs w:val="20"/>
              </w:rPr>
              <w:t>市教委</w:t>
            </w:r>
            <w:r>
              <w:rPr>
                <w:rFonts w:hint="eastAsia" w:ascii="Times New Roman" w:hAnsi="Times New Roman" w:eastAsia="仿宋_GB2312"/>
                <w:color w:val="000000"/>
                <w:kern w:val="0"/>
                <w:sz w:val="20"/>
                <w:szCs w:val="20"/>
              </w:rPr>
              <w:t>承办</w:t>
            </w:r>
            <w:r>
              <w:rPr>
                <w:rFonts w:hint="eastAsia" w:eastAsia="仿宋_GB2312"/>
                <w:color w:val="000000"/>
                <w:kern w:val="0"/>
                <w:sz w:val="20"/>
                <w:szCs w:val="20"/>
                <w:lang w:bidi="ar"/>
              </w:rPr>
              <w:t>）</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委托滨海新区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r>
              <w:rPr>
                <w:rFonts w:eastAsia="仿宋_GB2312"/>
                <w:color w:val="000000"/>
                <w:kern w:val="0"/>
                <w:sz w:val="20"/>
                <w:szCs w:val="20"/>
                <w:lang w:bidi="ar"/>
              </w:rPr>
              <w:t>实施</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高等学校和其他高等教育机构筹设审批</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有资产、资金投入的，需提交验资证明和资产评估证明</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验资费、评估费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97" w:type="pct"/>
            <w:vMerge w:val="restar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19</w:t>
            </w:r>
          </w:p>
        </w:tc>
        <w:tc>
          <w:tcPr>
            <w:tcW w:w="557" w:type="pct"/>
            <w:vMerge w:val="restar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市政府（</w:t>
            </w:r>
            <w:r>
              <w:rPr>
                <w:rFonts w:ascii="Times New Roman" w:hAnsi="Times New Roman" w:eastAsia="仿宋_GB2312"/>
                <w:color w:val="000000"/>
                <w:kern w:val="0"/>
                <w:sz w:val="20"/>
                <w:szCs w:val="20"/>
              </w:rPr>
              <w:t>市教委</w:t>
            </w:r>
            <w:r>
              <w:rPr>
                <w:rFonts w:hint="eastAsia" w:ascii="Times New Roman" w:hAnsi="Times New Roman" w:eastAsia="仿宋_GB2312"/>
                <w:color w:val="000000"/>
                <w:kern w:val="0"/>
                <w:sz w:val="20"/>
                <w:szCs w:val="20"/>
              </w:rPr>
              <w:t>承办）</w:t>
            </w:r>
          </w:p>
        </w:tc>
        <w:tc>
          <w:tcPr>
            <w:tcW w:w="570" w:type="pct"/>
            <w:vMerge w:val="restar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委托滨海新区有关行政审批主管部门实施</w:t>
            </w:r>
          </w:p>
        </w:tc>
        <w:tc>
          <w:tcPr>
            <w:tcW w:w="977" w:type="pct"/>
            <w:vMerge w:val="restar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高等学校和其他高等教育机构</w:t>
            </w:r>
            <w:r>
              <w:rPr>
                <w:rFonts w:ascii="Times New Roman" w:hAnsi="Times New Roman" w:eastAsia="仿宋_GB2312"/>
                <w:color w:val="000000"/>
                <w:kern w:val="0"/>
                <w:sz w:val="20"/>
                <w:szCs w:val="20"/>
              </w:rPr>
              <w:t>设置</w:t>
            </w:r>
            <w:r>
              <w:rPr>
                <w:rFonts w:hint="eastAsia" w:ascii="Times New Roman" w:hAnsi="Times New Roman" w:eastAsia="仿宋_GB2312"/>
                <w:color w:val="000000"/>
                <w:kern w:val="0"/>
                <w:sz w:val="20"/>
                <w:szCs w:val="20"/>
              </w:rPr>
              <w:t>审批</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有资产、资金投入的，需提交验资证明和资产评估证明</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验资费、评估费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FFFFFF"/>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FFFFFF"/>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FFFFFF"/>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分立、合并、举办者或合作办学者变更、终止,需提供财务清算报告</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审计费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97" w:type="pct"/>
            <w:vMerge w:val="restar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20</w:t>
            </w:r>
          </w:p>
        </w:tc>
        <w:tc>
          <w:tcPr>
            <w:tcW w:w="557" w:type="pct"/>
            <w:vMerge w:val="restar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市教委</w:t>
            </w:r>
          </w:p>
        </w:tc>
        <w:tc>
          <w:tcPr>
            <w:tcW w:w="570" w:type="pct"/>
            <w:vMerge w:val="restar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委托滨海新区</w:t>
            </w:r>
            <w:r>
              <w:rPr>
                <w:rFonts w:hint="eastAsia" w:ascii="Times New Roman" w:hAnsi="Times New Roman" w:eastAsia="仿宋_GB2312"/>
                <w:color w:val="000000"/>
                <w:kern w:val="0"/>
                <w:sz w:val="20"/>
                <w:szCs w:val="20"/>
              </w:rPr>
              <w:t>有关</w:t>
            </w:r>
            <w:r>
              <w:rPr>
                <w:rFonts w:ascii="Times New Roman" w:hAnsi="Times New Roman" w:eastAsia="仿宋_GB2312"/>
                <w:color w:val="000000"/>
                <w:kern w:val="0"/>
                <w:sz w:val="20"/>
                <w:szCs w:val="20"/>
              </w:rPr>
              <w:t>行政审批</w:t>
            </w:r>
            <w:r>
              <w:rPr>
                <w:rFonts w:hint="eastAsia" w:ascii="Times New Roman" w:hAnsi="Times New Roman" w:eastAsia="仿宋_GB2312"/>
                <w:color w:val="000000"/>
                <w:kern w:val="0"/>
                <w:sz w:val="20"/>
                <w:szCs w:val="20"/>
              </w:rPr>
              <w:t>主管部门</w:t>
            </w:r>
            <w:r>
              <w:rPr>
                <w:rFonts w:ascii="Times New Roman" w:hAnsi="Times New Roman" w:eastAsia="仿宋_GB2312"/>
                <w:color w:val="000000"/>
                <w:kern w:val="0"/>
                <w:sz w:val="20"/>
                <w:szCs w:val="20"/>
              </w:rPr>
              <w:t>实施</w:t>
            </w:r>
          </w:p>
        </w:tc>
        <w:tc>
          <w:tcPr>
            <w:tcW w:w="977" w:type="pct"/>
            <w:vMerge w:val="restar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开办外籍人员子女学校审批</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拟建学校经费的验资证明</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验资费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auto"/>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auto"/>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变更举办者、终止，需提供财务清算报告</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审计费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197" w:type="pct"/>
            <w:vMerge w:val="restar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21</w:t>
            </w:r>
          </w:p>
        </w:tc>
        <w:tc>
          <w:tcPr>
            <w:tcW w:w="557" w:type="pct"/>
            <w:vMerge w:val="restar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市教委</w:t>
            </w:r>
          </w:p>
        </w:tc>
        <w:tc>
          <w:tcPr>
            <w:tcW w:w="570" w:type="pct"/>
            <w:vMerge w:val="restar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委托滨海新区</w:t>
            </w:r>
            <w:r>
              <w:rPr>
                <w:rFonts w:hint="eastAsia" w:ascii="Times New Roman" w:hAnsi="Times New Roman" w:eastAsia="仿宋_GB2312"/>
                <w:color w:val="000000"/>
                <w:kern w:val="0"/>
                <w:sz w:val="20"/>
                <w:szCs w:val="20"/>
              </w:rPr>
              <w:t>有关</w:t>
            </w:r>
            <w:r>
              <w:rPr>
                <w:rFonts w:ascii="Times New Roman" w:hAnsi="Times New Roman" w:eastAsia="仿宋_GB2312"/>
                <w:color w:val="000000"/>
                <w:kern w:val="0"/>
                <w:sz w:val="20"/>
                <w:szCs w:val="20"/>
              </w:rPr>
              <w:t>行政审批</w:t>
            </w:r>
            <w:r>
              <w:rPr>
                <w:rFonts w:hint="eastAsia" w:ascii="Times New Roman" w:hAnsi="Times New Roman" w:eastAsia="仿宋_GB2312"/>
                <w:color w:val="000000"/>
                <w:kern w:val="0"/>
                <w:sz w:val="20"/>
                <w:szCs w:val="20"/>
              </w:rPr>
              <w:t>主管部门</w:t>
            </w:r>
            <w:r>
              <w:rPr>
                <w:rFonts w:ascii="Times New Roman" w:hAnsi="Times New Roman" w:eastAsia="仿宋_GB2312"/>
                <w:color w:val="000000"/>
                <w:kern w:val="0"/>
                <w:sz w:val="20"/>
                <w:szCs w:val="20"/>
              </w:rPr>
              <w:t>实施；各区</w:t>
            </w:r>
            <w:r>
              <w:rPr>
                <w:rFonts w:hint="eastAsia" w:ascii="Times New Roman" w:hAnsi="Times New Roman" w:eastAsia="仿宋_GB2312"/>
                <w:color w:val="000000"/>
                <w:kern w:val="0"/>
                <w:sz w:val="20"/>
                <w:szCs w:val="20"/>
              </w:rPr>
              <w:t>有关</w:t>
            </w:r>
            <w:r>
              <w:rPr>
                <w:rFonts w:ascii="Times New Roman" w:hAnsi="Times New Roman" w:eastAsia="仿宋_GB2312"/>
                <w:color w:val="000000"/>
                <w:kern w:val="0"/>
                <w:sz w:val="20"/>
                <w:szCs w:val="20"/>
              </w:rPr>
              <w:t>行政审批</w:t>
            </w:r>
            <w:r>
              <w:rPr>
                <w:rFonts w:hint="eastAsia" w:ascii="Times New Roman" w:hAnsi="Times New Roman" w:eastAsia="仿宋_GB2312"/>
                <w:color w:val="000000"/>
                <w:kern w:val="0"/>
                <w:sz w:val="20"/>
                <w:szCs w:val="20"/>
              </w:rPr>
              <w:t>主管部门</w:t>
            </w:r>
          </w:p>
        </w:tc>
        <w:tc>
          <w:tcPr>
            <w:tcW w:w="977" w:type="pct"/>
            <w:vMerge w:val="restar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中等及以下学校和其他教育机构设置审批</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设立，需提供学校资产的有效证明文件（验资证明和资产评估证明）</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验资费、评估费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FFFFFF"/>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FFFFFF"/>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FFFFFF"/>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分立、合并、举办者或合作办学者变更、终止，需提供财务清算报告</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审计费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22</w:t>
            </w:r>
          </w:p>
        </w:tc>
        <w:tc>
          <w:tcPr>
            <w:tcW w:w="557"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市教委</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委托滨海新区</w:t>
            </w:r>
            <w:r>
              <w:rPr>
                <w:rFonts w:hint="eastAsia" w:ascii="Times New Roman" w:hAnsi="Times New Roman" w:eastAsia="仿宋_GB2312"/>
                <w:color w:val="000000"/>
                <w:kern w:val="0"/>
                <w:sz w:val="20"/>
                <w:szCs w:val="20"/>
              </w:rPr>
              <w:t>有关</w:t>
            </w:r>
            <w:r>
              <w:rPr>
                <w:rFonts w:ascii="Times New Roman" w:hAnsi="Times New Roman" w:eastAsia="仿宋_GB2312"/>
                <w:color w:val="000000"/>
                <w:kern w:val="0"/>
                <w:sz w:val="20"/>
                <w:szCs w:val="20"/>
              </w:rPr>
              <w:t>行政审批</w:t>
            </w:r>
            <w:r>
              <w:rPr>
                <w:rFonts w:hint="eastAsia" w:ascii="Times New Roman" w:hAnsi="Times New Roman" w:eastAsia="仿宋_GB2312"/>
                <w:color w:val="000000"/>
                <w:kern w:val="0"/>
                <w:sz w:val="20"/>
                <w:szCs w:val="20"/>
              </w:rPr>
              <w:t>主管部门</w:t>
            </w:r>
            <w:r>
              <w:rPr>
                <w:rFonts w:ascii="Times New Roman" w:hAnsi="Times New Roman" w:eastAsia="仿宋_GB2312"/>
                <w:color w:val="000000"/>
                <w:kern w:val="0"/>
                <w:sz w:val="20"/>
                <w:szCs w:val="20"/>
              </w:rPr>
              <w:t>实施；各区</w:t>
            </w:r>
            <w:r>
              <w:rPr>
                <w:rFonts w:hint="eastAsia" w:ascii="Times New Roman" w:hAnsi="Times New Roman" w:eastAsia="仿宋_GB2312"/>
                <w:color w:val="000000"/>
                <w:kern w:val="0"/>
                <w:sz w:val="20"/>
                <w:szCs w:val="20"/>
              </w:rPr>
              <w:t>有关</w:t>
            </w:r>
            <w:r>
              <w:rPr>
                <w:rFonts w:ascii="Times New Roman" w:hAnsi="Times New Roman" w:eastAsia="仿宋_GB2312"/>
                <w:color w:val="000000"/>
                <w:kern w:val="0"/>
                <w:sz w:val="20"/>
                <w:szCs w:val="20"/>
              </w:rPr>
              <w:t>行政审批</w:t>
            </w:r>
            <w:r>
              <w:rPr>
                <w:rFonts w:hint="eastAsia" w:ascii="Times New Roman" w:hAnsi="Times New Roman" w:eastAsia="仿宋_GB2312"/>
                <w:color w:val="000000"/>
                <w:kern w:val="0"/>
                <w:sz w:val="20"/>
                <w:szCs w:val="20"/>
              </w:rPr>
              <w:t>主管部门</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民办、中外合作开办中等及以下学校和其他教育机构筹设审批</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有资产、资金投入的，需提交验资证明和资产评估证明</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验资费、评估费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23</w:t>
            </w:r>
          </w:p>
        </w:tc>
        <w:tc>
          <w:tcPr>
            <w:tcW w:w="557"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市港航局</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不涉及</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港口经营许可</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新建、改建、扩建储存、装卸危险货物港口设施的，提交安全设施验收合格证明材料；使用现有港口设施的，提交对现状的安全评价报告</w:t>
            </w:r>
          </w:p>
        </w:tc>
        <w:tc>
          <w:tcPr>
            <w:tcW w:w="721"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highlight w:val="none"/>
                <w:lang w:eastAsia="zh-CN"/>
              </w:rPr>
              <w:t>安全评价收费</w:t>
            </w:r>
          </w:p>
        </w:tc>
        <w:tc>
          <w:tcPr>
            <w:tcW w:w="493"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安全评价机构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24</w:t>
            </w:r>
          </w:p>
        </w:tc>
        <w:tc>
          <w:tcPr>
            <w:tcW w:w="557" w:type="pct"/>
            <w:shd w:val="clear" w:color="auto" w:fill="FFFFFF"/>
            <w:noWrap w:val="0"/>
            <w:vAlign w:val="center"/>
          </w:tcPr>
          <w:p>
            <w:pPr>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市港航局</w:t>
            </w:r>
          </w:p>
        </w:tc>
        <w:tc>
          <w:tcPr>
            <w:tcW w:w="570" w:type="pct"/>
            <w:shd w:val="clear" w:color="auto" w:fill="FFFFFF"/>
            <w:noWrap w:val="0"/>
            <w:vAlign w:val="center"/>
          </w:tcPr>
          <w:p>
            <w:pPr>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不涉及</w:t>
            </w:r>
          </w:p>
        </w:tc>
        <w:tc>
          <w:tcPr>
            <w:tcW w:w="977"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color w:val="000000"/>
                <w:kern w:val="0"/>
                <w:sz w:val="20"/>
                <w:szCs w:val="20"/>
                <w:lang w:bidi="ar"/>
              </w:rPr>
              <w:t>危险货物港口建设项目安全条件审查</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危险货物港口建设项目安全预评价报告</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color w:val="000000"/>
                <w:kern w:val="0"/>
                <w:sz w:val="20"/>
                <w:szCs w:val="20"/>
                <w:highlight w:val="none"/>
                <w:lang w:eastAsia="zh-CN"/>
              </w:rPr>
              <w:t>安全评价收费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安全评价机构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25</w:t>
            </w:r>
          </w:p>
        </w:tc>
        <w:tc>
          <w:tcPr>
            <w:tcW w:w="557" w:type="pct"/>
            <w:shd w:val="clear" w:color="auto" w:fill="FFFFFF"/>
            <w:noWrap w:val="0"/>
            <w:vAlign w:val="center"/>
          </w:tcPr>
          <w:p>
            <w:pPr>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市应急局</w:t>
            </w:r>
          </w:p>
        </w:tc>
        <w:tc>
          <w:tcPr>
            <w:tcW w:w="570" w:type="pct"/>
            <w:shd w:val="clear" w:color="auto" w:fill="FFFFFF"/>
            <w:noWrap w:val="0"/>
            <w:vAlign w:val="center"/>
          </w:tcPr>
          <w:p>
            <w:pPr>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p>
        </w:tc>
        <w:tc>
          <w:tcPr>
            <w:tcW w:w="977"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kern w:val="0"/>
                <w:sz w:val="20"/>
                <w:szCs w:val="20"/>
              </w:rPr>
              <w:t>生产、储存危险化学品建设项目安全</w:t>
            </w:r>
            <w:r>
              <w:rPr>
                <w:rFonts w:ascii="Times New Roman" w:hAnsi="Times New Roman" w:eastAsia="仿宋_GB2312"/>
                <w:kern w:val="0"/>
                <w:sz w:val="20"/>
                <w:szCs w:val="20"/>
              </w:rPr>
              <w:t>条件</w:t>
            </w:r>
            <w:r>
              <w:rPr>
                <w:rFonts w:hint="eastAsia" w:ascii="Times New Roman" w:hAnsi="Times New Roman" w:eastAsia="仿宋_GB2312"/>
                <w:kern w:val="0"/>
                <w:sz w:val="20"/>
                <w:szCs w:val="20"/>
              </w:rPr>
              <w:t>审查</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安全评价报告</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color w:val="000000"/>
                <w:kern w:val="0"/>
                <w:sz w:val="20"/>
                <w:szCs w:val="20"/>
                <w:highlight w:val="none"/>
                <w:lang w:eastAsia="zh-CN"/>
              </w:rPr>
              <w:t>安全评价收费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安全评价机构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2</w:t>
            </w:r>
            <w:r>
              <w:rPr>
                <w:rFonts w:ascii="Times New Roman" w:hAnsi="Times New Roman" w:eastAsia="仿宋_GB2312"/>
                <w:color w:val="000000"/>
                <w:kern w:val="0"/>
                <w:sz w:val="20"/>
                <w:szCs w:val="20"/>
              </w:rPr>
              <w:t>6</w:t>
            </w:r>
          </w:p>
        </w:tc>
        <w:tc>
          <w:tcPr>
            <w:tcW w:w="557" w:type="pct"/>
            <w:shd w:val="clear" w:color="auto" w:fill="FFFFFF"/>
            <w:noWrap w:val="0"/>
            <w:vAlign w:val="center"/>
          </w:tcPr>
          <w:p>
            <w:pPr>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市应急局</w:t>
            </w:r>
          </w:p>
        </w:tc>
        <w:tc>
          <w:tcPr>
            <w:tcW w:w="570" w:type="pct"/>
            <w:shd w:val="clear" w:color="auto" w:fill="FFFFFF"/>
            <w:noWrap w:val="0"/>
            <w:vAlign w:val="center"/>
          </w:tcPr>
          <w:p>
            <w:pPr>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p>
        </w:tc>
        <w:tc>
          <w:tcPr>
            <w:tcW w:w="977"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kern w:val="0"/>
                <w:sz w:val="20"/>
                <w:szCs w:val="20"/>
              </w:rPr>
              <w:t>生产、储存危险化学品建设项目安全设施设计审查</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危险化学品建设项目安全设施设计专篇</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kern w:val="0"/>
                <w:sz w:val="20"/>
                <w:szCs w:val="20"/>
                <w:highlight w:val="none"/>
                <w:lang w:eastAsia="zh-CN"/>
              </w:rPr>
              <w:t>设计费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设计单位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197" w:type="pct"/>
            <w:vMerge w:val="restart"/>
            <w:shd w:val="clear" w:color="auto" w:fill="auto"/>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2</w:t>
            </w:r>
            <w:r>
              <w:rPr>
                <w:rFonts w:ascii="Times New Roman" w:hAnsi="Times New Roman" w:eastAsia="仿宋_GB2312"/>
                <w:color w:val="000000"/>
                <w:kern w:val="0"/>
                <w:sz w:val="20"/>
                <w:szCs w:val="20"/>
              </w:rPr>
              <w:t>7</w:t>
            </w:r>
          </w:p>
        </w:tc>
        <w:tc>
          <w:tcPr>
            <w:tcW w:w="557" w:type="pct"/>
            <w:vMerge w:val="restar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市应急局</w:t>
            </w:r>
          </w:p>
        </w:tc>
        <w:tc>
          <w:tcPr>
            <w:tcW w:w="570" w:type="pct"/>
            <w:vMerge w:val="restar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p>
        </w:tc>
        <w:tc>
          <w:tcPr>
            <w:tcW w:w="977" w:type="pct"/>
            <w:vMerge w:val="restar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kern w:val="0"/>
                <w:sz w:val="20"/>
                <w:szCs w:val="20"/>
              </w:rPr>
              <w:t>金属冶炼建设项目安全设施设计审查</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金属冶炼建设项目安全设施设计专篇</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kern w:val="0"/>
                <w:sz w:val="20"/>
                <w:szCs w:val="20"/>
                <w:highlight w:val="none"/>
                <w:lang w:eastAsia="zh-CN"/>
              </w:rPr>
              <w:t>设计费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设计单位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FFFFFF"/>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FFFFFF"/>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FFFFFF"/>
            <w:noWrap w:val="0"/>
            <w:vAlign w:val="center"/>
          </w:tcPr>
          <w:p>
            <w:pPr>
              <w:widowControl/>
              <w:rPr>
                <w:rFonts w:ascii="Times New Roman" w:hAnsi="Times New Roman" w:eastAsia="仿宋_GB2312"/>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金属冶炼建设项目安全预评价报告</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color w:val="000000"/>
                <w:kern w:val="0"/>
                <w:sz w:val="20"/>
                <w:szCs w:val="20"/>
                <w:highlight w:val="none"/>
                <w:lang w:eastAsia="zh-CN"/>
              </w:rPr>
              <w:t>安全评价收费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安全评价机构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197" w:type="pct"/>
            <w:vMerge w:val="restart"/>
            <w:shd w:val="clear" w:color="auto" w:fill="auto"/>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2</w:t>
            </w:r>
            <w:r>
              <w:rPr>
                <w:rFonts w:ascii="Times New Roman" w:hAnsi="Times New Roman" w:eastAsia="仿宋_GB2312"/>
                <w:color w:val="000000"/>
                <w:kern w:val="0"/>
                <w:sz w:val="20"/>
                <w:szCs w:val="20"/>
              </w:rPr>
              <w:t>8</w:t>
            </w:r>
          </w:p>
        </w:tc>
        <w:tc>
          <w:tcPr>
            <w:tcW w:w="557" w:type="pct"/>
            <w:vMerge w:val="restar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市应急局</w:t>
            </w:r>
          </w:p>
        </w:tc>
        <w:tc>
          <w:tcPr>
            <w:tcW w:w="570" w:type="pct"/>
            <w:vMerge w:val="restar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p>
        </w:tc>
        <w:tc>
          <w:tcPr>
            <w:tcW w:w="977" w:type="pct"/>
            <w:vMerge w:val="restar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kern w:val="0"/>
                <w:sz w:val="20"/>
                <w:szCs w:val="20"/>
              </w:rPr>
              <w:t>矿山建设项目安全设施设计审查</w:t>
            </w:r>
          </w:p>
        </w:tc>
        <w:tc>
          <w:tcPr>
            <w:tcW w:w="1042" w:type="pct"/>
            <w:shd w:val="clear" w:color="auto" w:fill="FFFFFF"/>
            <w:noWrap w:val="0"/>
            <w:vAlign w:val="center"/>
          </w:tcPr>
          <w:p>
            <w:pPr>
              <w:widowControl/>
              <w:spacing w:line="320" w:lineRule="exact"/>
              <w:rPr>
                <w:rFonts w:ascii="Times New Roman" w:hAnsi="Times New Roman" w:eastAsia="仿宋_GB2312"/>
                <w:kern w:val="0"/>
                <w:sz w:val="20"/>
                <w:szCs w:val="20"/>
              </w:rPr>
            </w:pPr>
            <w:r>
              <w:rPr>
                <w:rFonts w:ascii="Times New Roman" w:hAnsi="Times New Roman" w:eastAsia="仿宋_GB2312"/>
                <w:kern w:val="0"/>
                <w:sz w:val="20"/>
                <w:szCs w:val="20"/>
              </w:rPr>
              <w:t>安全预评价报告</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color w:val="000000"/>
                <w:kern w:val="0"/>
                <w:sz w:val="20"/>
                <w:szCs w:val="20"/>
                <w:highlight w:val="none"/>
                <w:lang w:eastAsia="zh-CN"/>
              </w:rPr>
              <w:t>安全评价收费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安全评价机构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FFFFFF"/>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FFFFFF"/>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FFFFFF"/>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非煤矿矿山建设项目安全设施设计专篇</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kern w:val="0"/>
                <w:sz w:val="20"/>
                <w:szCs w:val="20"/>
                <w:highlight w:val="none"/>
                <w:lang w:eastAsia="zh-CN"/>
              </w:rPr>
              <w:t>设计费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设计单位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97" w:type="pct"/>
            <w:vMerge w:val="restar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29</w:t>
            </w:r>
          </w:p>
        </w:tc>
        <w:tc>
          <w:tcPr>
            <w:tcW w:w="557" w:type="pct"/>
            <w:vMerge w:val="restar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市应急局</w:t>
            </w:r>
          </w:p>
        </w:tc>
        <w:tc>
          <w:tcPr>
            <w:tcW w:w="570" w:type="pct"/>
            <w:vMerge w:val="restar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p>
        </w:tc>
        <w:tc>
          <w:tcPr>
            <w:tcW w:w="977" w:type="pct"/>
            <w:vMerge w:val="restar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石油天然气建设项目安全设施设计审查</w:t>
            </w:r>
          </w:p>
        </w:tc>
        <w:tc>
          <w:tcPr>
            <w:tcW w:w="1042" w:type="pct"/>
            <w:shd w:val="clear" w:color="auto" w:fill="FFFFFF"/>
            <w:noWrap w:val="0"/>
            <w:vAlign w:val="center"/>
          </w:tcPr>
          <w:p>
            <w:pPr>
              <w:widowControl/>
              <w:spacing w:line="320" w:lineRule="exact"/>
              <w:rPr>
                <w:rFonts w:ascii="Times New Roman" w:hAnsi="Times New Roman" w:eastAsia="仿宋_GB2312"/>
                <w:kern w:val="0"/>
                <w:sz w:val="20"/>
                <w:szCs w:val="20"/>
              </w:rPr>
            </w:pPr>
            <w:r>
              <w:rPr>
                <w:rFonts w:ascii="Times New Roman" w:hAnsi="Times New Roman" w:eastAsia="仿宋_GB2312"/>
                <w:kern w:val="0"/>
                <w:sz w:val="20"/>
                <w:szCs w:val="20"/>
              </w:rPr>
              <w:t>安全预评价报告</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color w:val="000000"/>
                <w:kern w:val="0"/>
                <w:sz w:val="20"/>
                <w:szCs w:val="20"/>
                <w:highlight w:val="none"/>
                <w:lang w:eastAsia="zh-CN"/>
              </w:rPr>
              <w:t>安全评价收费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安全评价机构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FFFFFF"/>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FFFFFF"/>
            <w:noWrap w:val="0"/>
            <w:vAlign w:val="center"/>
          </w:tcPr>
          <w:p>
            <w:pPr>
              <w:widowControl/>
              <w:spacing w:line="320" w:lineRule="exact"/>
              <w:rPr>
                <w:rFonts w:ascii="Times New Roman" w:hAnsi="Times New Roman" w:eastAsia="仿宋_GB2312"/>
                <w:color w:val="000000"/>
                <w:kern w:val="0"/>
                <w:sz w:val="20"/>
                <w:szCs w:val="20"/>
              </w:rPr>
            </w:pPr>
          </w:p>
        </w:tc>
        <w:tc>
          <w:tcPr>
            <w:tcW w:w="977" w:type="pct"/>
            <w:vMerge w:val="continue"/>
            <w:shd w:val="clear" w:color="auto" w:fill="FFFFFF"/>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石油天然气建设项目安全设施设计专篇</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kern w:val="0"/>
                <w:sz w:val="20"/>
                <w:szCs w:val="20"/>
                <w:highlight w:val="none"/>
                <w:lang w:eastAsia="zh-CN"/>
              </w:rPr>
              <w:t>设计费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设计单位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30</w:t>
            </w:r>
          </w:p>
        </w:tc>
        <w:tc>
          <w:tcPr>
            <w:tcW w:w="557"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市应急局</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不涉及</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危险化学品生产企业安全生产许可</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安全评价报告</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color w:val="000000"/>
                <w:kern w:val="0"/>
                <w:sz w:val="20"/>
                <w:szCs w:val="20"/>
                <w:highlight w:val="none"/>
                <w:lang w:eastAsia="zh-CN"/>
              </w:rPr>
              <w:t>安全评价收费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安全评价机构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8"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31</w:t>
            </w:r>
          </w:p>
        </w:tc>
        <w:tc>
          <w:tcPr>
            <w:tcW w:w="557"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市应急局</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除中央管理企业外，其他企业委托各区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r>
              <w:rPr>
                <w:rFonts w:eastAsia="仿宋_GB2312"/>
                <w:color w:val="000000"/>
                <w:kern w:val="0"/>
                <w:sz w:val="20"/>
                <w:szCs w:val="20"/>
                <w:lang w:bidi="ar"/>
              </w:rPr>
              <w:t>实施</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矿山企业安全生产许可</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安全评价报告</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color w:val="000000"/>
                <w:kern w:val="0"/>
                <w:sz w:val="20"/>
                <w:szCs w:val="20"/>
                <w:highlight w:val="none"/>
                <w:lang w:eastAsia="zh-CN"/>
              </w:rPr>
              <w:t>安全评价收费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安全评价机构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32</w:t>
            </w:r>
          </w:p>
        </w:tc>
        <w:tc>
          <w:tcPr>
            <w:tcW w:w="557"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市应急局</w:t>
            </w:r>
          </w:p>
        </w:tc>
        <w:tc>
          <w:tcPr>
            <w:tcW w:w="570" w:type="pct"/>
            <w:shd w:val="clear" w:color="auto" w:fill="FFFFFF"/>
            <w:noWrap w:val="0"/>
            <w:vAlign w:val="center"/>
          </w:tcPr>
          <w:p>
            <w:pPr>
              <w:widowControl/>
              <w:spacing w:line="320" w:lineRule="exact"/>
              <w:rPr>
                <w:rFonts w:eastAsia="仿宋_GB2312"/>
                <w:color w:val="000000"/>
                <w:kern w:val="0"/>
                <w:sz w:val="20"/>
                <w:szCs w:val="20"/>
                <w:lang w:bidi="ar"/>
              </w:rPr>
            </w:pPr>
            <w:r>
              <w:rPr>
                <w:rFonts w:eastAsia="仿宋_GB2312"/>
                <w:color w:val="000000"/>
                <w:kern w:val="0"/>
                <w:sz w:val="20"/>
                <w:szCs w:val="20"/>
                <w:lang w:bidi="ar"/>
              </w:rPr>
              <w:t>除中央管理企业外，其他企业委托各区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r>
              <w:rPr>
                <w:rFonts w:eastAsia="仿宋_GB2312"/>
                <w:color w:val="000000"/>
                <w:kern w:val="0"/>
                <w:sz w:val="20"/>
                <w:szCs w:val="20"/>
                <w:lang w:bidi="ar"/>
              </w:rPr>
              <w:t>实施</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石油天然气企业安全生产许可</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安全评价报告</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color w:val="000000"/>
                <w:kern w:val="0"/>
                <w:sz w:val="20"/>
                <w:szCs w:val="20"/>
                <w:highlight w:val="none"/>
                <w:lang w:eastAsia="zh-CN"/>
              </w:rPr>
              <w:t>安全评价收费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安全评价机构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33</w:t>
            </w:r>
          </w:p>
        </w:tc>
        <w:tc>
          <w:tcPr>
            <w:tcW w:w="557"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不涉及</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危险化学品安全使用许可</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安全评价报告</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color w:val="000000"/>
                <w:kern w:val="0"/>
                <w:sz w:val="20"/>
                <w:szCs w:val="20"/>
                <w:highlight w:val="none"/>
                <w:lang w:eastAsia="zh-CN"/>
              </w:rPr>
              <w:t>安全评价收费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安全评价机构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197" w:type="pc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34</w:t>
            </w:r>
          </w:p>
        </w:tc>
        <w:tc>
          <w:tcPr>
            <w:tcW w:w="557" w:type="pc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市应急局</w:t>
            </w:r>
          </w:p>
        </w:tc>
        <w:tc>
          <w:tcPr>
            <w:tcW w:w="570"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eastAsia="仿宋_GB2312"/>
                <w:color w:val="000000"/>
                <w:kern w:val="0"/>
                <w:sz w:val="20"/>
                <w:szCs w:val="20"/>
                <w:lang w:bidi="ar"/>
              </w:rPr>
              <w:t>各区</w:t>
            </w:r>
            <w:r>
              <w:rPr>
                <w:rFonts w:hint="eastAsia" w:eastAsia="仿宋_GB2312"/>
                <w:color w:val="000000"/>
                <w:kern w:val="0"/>
                <w:sz w:val="20"/>
                <w:szCs w:val="20"/>
                <w:lang w:bidi="ar"/>
              </w:rPr>
              <w:t>有关</w:t>
            </w:r>
            <w:r>
              <w:rPr>
                <w:rFonts w:eastAsia="仿宋_GB2312"/>
                <w:color w:val="000000"/>
                <w:kern w:val="0"/>
                <w:sz w:val="20"/>
                <w:szCs w:val="20"/>
                <w:lang w:bidi="ar"/>
              </w:rPr>
              <w:t>行政审批</w:t>
            </w:r>
            <w:r>
              <w:rPr>
                <w:rFonts w:hint="eastAsia" w:eastAsia="仿宋_GB2312"/>
                <w:color w:val="000000"/>
                <w:kern w:val="0"/>
                <w:sz w:val="20"/>
                <w:szCs w:val="20"/>
                <w:lang w:bidi="ar"/>
              </w:rPr>
              <w:t>主管部门</w:t>
            </w:r>
          </w:p>
        </w:tc>
        <w:tc>
          <w:tcPr>
            <w:tcW w:w="977" w:type="pct"/>
            <w:shd w:val="clear" w:color="auto" w:fill="FFFFFF"/>
            <w:noWrap w:val="0"/>
            <w:vAlign w:val="center"/>
          </w:tcPr>
          <w:p>
            <w:pPr>
              <w:widowControl/>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危险化学品经营许可</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安全评价报告</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color w:val="000000"/>
                <w:kern w:val="0"/>
                <w:sz w:val="20"/>
                <w:szCs w:val="20"/>
                <w:highlight w:val="none"/>
                <w:lang w:eastAsia="zh-CN"/>
              </w:rPr>
              <w:t>安全评价收费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安全评价机构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97" w:type="pct"/>
            <w:vMerge w:val="restart"/>
            <w:shd w:val="clear" w:color="auto" w:fill="auto"/>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35</w:t>
            </w:r>
          </w:p>
        </w:tc>
        <w:tc>
          <w:tcPr>
            <w:tcW w:w="557" w:type="pct"/>
            <w:vMerge w:val="restart"/>
            <w:shd w:val="clear" w:color="auto" w:fill="FFFFFF"/>
            <w:noWrap w:val="0"/>
            <w:vAlign w:val="center"/>
          </w:tcPr>
          <w:p>
            <w:pPr>
              <w:widowControl/>
              <w:jc w:val="center"/>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市应急局</w:t>
            </w:r>
          </w:p>
        </w:tc>
        <w:tc>
          <w:tcPr>
            <w:tcW w:w="570" w:type="pct"/>
            <w:vMerge w:val="restart"/>
            <w:shd w:val="clear" w:color="auto" w:fill="FFFFFF"/>
            <w:noWrap w:val="0"/>
            <w:vAlign w:val="center"/>
          </w:tcPr>
          <w:p>
            <w:pPr>
              <w:widowControl/>
              <w:spacing w:line="320" w:lineRule="exact"/>
              <w:rPr>
                <w:rFonts w:eastAsia="仿宋_GB2312"/>
                <w:color w:val="000000"/>
                <w:kern w:val="0"/>
                <w:sz w:val="20"/>
                <w:szCs w:val="20"/>
                <w:lang w:bidi="ar"/>
              </w:rPr>
            </w:pPr>
            <w:r>
              <w:rPr>
                <w:rFonts w:eastAsia="仿宋_GB2312"/>
                <w:color w:val="000000"/>
                <w:kern w:val="0"/>
                <w:sz w:val="20"/>
                <w:szCs w:val="20"/>
                <w:lang w:bidi="ar"/>
              </w:rPr>
              <w:t>不涉及</w:t>
            </w:r>
          </w:p>
        </w:tc>
        <w:tc>
          <w:tcPr>
            <w:tcW w:w="977" w:type="pct"/>
            <w:vMerge w:val="restart"/>
            <w:shd w:val="clear" w:color="auto" w:fill="FFFFFF"/>
            <w:noWrap w:val="0"/>
            <w:vAlign w:val="center"/>
          </w:tcPr>
          <w:p>
            <w:pPr>
              <w:widowControl/>
              <w:rPr>
                <w:rFonts w:ascii="Times New Roman" w:hAnsi="Times New Roman" w:eastAsia="仿宋_GB2312"/>
                <w:color w:val="000000"/>
                <w:kern w:val="0"/>
                <w:sz w:val="20"/>
                <w:szCs w:val="20"/>
              </w:rPr>
            </w:pPr>
            <w:r>
              <w:rPr>
                <w:rFonts w:eastAsia="仿宋_GB2312"/>
                <w:color w:val="000000"/>
                <w:kern w:val="0"/>
                <w:szCs w:val="21"/>
                <w:lang w:bidi="ar"/>
              </w:rPr>
              <w:t>烟花爆竹经营许可（批发）（已转禁止制）</w:t>
            </w: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hint="eastAsia" w:ascii="Times New Roman" w:hAnsi="Times New Roman" w:eastAsia="仿宋_GB2312"/>
                <w:color w:val="000000"/>
                <w:kern w:val="0"/>
                <w:sz w:val="20"/>
                <w:szCs w:val="20"/>
              </w:rPr>
              <w:t>库区外部安全距离实测图和库区仓储设施平面布置图</w:t>
            </w:r>
          </w:p>
        </w:tc>
        <w:tc>
          <w:tcPr>
            <w:tcW w:w="721" w:type="pct"/>
            <w:shd w:val="clear" w:color="auto" w:fill="FFFFFF"/>
            <w:noWrap w:val="0"/>
            <w:vAlign w:val="center"/>
          </w:tcPr>
          <w:p>
            <w:pPr>
              <w:widowControl/>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测量及制图收费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设计单位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97" w:type="pct"/>
            <w:vMerge w:val="continue"/>
            <w:shd w:val="clear" w:color="auto" w:fill="auto"/>
            <w:noWrap w:val="0"/>
            <w:vAlign w:val="center"/>
          </w:tcPr>
          <w:p>
            <w:pPr>
              <w:widowControl/>
              <w:jc w:val="center"/>
              <w:rPr>
                <w:rFonts w:ascii="Times New Roman" w:hAnsi="Times New Roman" w:eastAsia="仿宋_GB2312"/>
                <w:color w:val="000000"/>
                <w:kern w:val="0"/>
                <w:sz w:val="20"/>
                <w:szCs w:val="20"/>
              </w:rPr>
            </w:pPr>
          </w:p>
        </w:tc>
        <w:tc>
          <w:tcPr>
            <w:tcW w:w="557" w:type="pct"/>
            <w:vMerge w:val="continue"/>
            <w:shd w:val="clear" w:color="auto" w:fill="FFFFFF"/>
            <w:noWrap w:val="0"/>
            <w:vAlign w:val="center"/>
          </w:tcPr>
          <w:p>
            <w:pPr>
              <w:widowControl/>
              <w:jc w:val="center"/>
              <w:rPr>
                <w:rFonts w:ascii="Times New Roman" w:hAnsi="Times New Roman" w:eastAsia="仿宋_GB2312"/>
                <w:color w:val="000000"/>
                <w:kern w:val="0"/>
                <w:sz w:val="20"/>
                <w:szCs w:val="20"/>
              </w:rPr>
            </w:pPr>
          </w:p>
        </w:tc>
        <w:tc>
          <w:tcPr>
            <w:tcW w:w="570" w:type="pct"/>
            <w:vMerge w:val="continue"/>
            <w:shd w:val="clear" w:color="auto" w:fill="FFFFFF"/>
            <w:noWrap w:val="0"/>
            <w:vAlign w:val="center"/>
          </w:tcPr>
          <w:p>
            <w:pPr>
              <w:widowControl/>
              <w:spacing w:line="320" w:lineRule="exact"/>
              <w:rPr>
                <w:rFonts w:eastAsia="仿宋_GB2312"/>
                <w:color w:val="000000"/>
                <w:kern w:val="0"/>
                <w:sz w:val="20"/>
                <w:szCs w:val="20"/>
                <w:lang w:bidi="ar"/>
              </w:rPr>
            </w:pPr>
          </w:p>
        </w:tc>
        <w:tc>
          <w:tcPr>
            <w:tcW w:w="977" w:type="pct"/>
            <w:vMerge w:val="continue"/>
            <w:shd w:val="clear" w:color="auto" w:fill="FFFFFF"/>
            <w:noWrap w:val="0"/>
            <w:vAlign w:val="center"/>
          </w:tcPr>
          <w:p>
            <w:pPr>
              <w:widowControl/>
              <w:rPr>
                <w:rFonts w:ascii="Times New Roman" w:hAnsi="Times New Roman" w:eastAsia="仿宋_GB2312"/>
                <w:color w:val="000000"/>
                <w:kern w:val="0"/>
                <w:sz w:val="20"/>
                <w:szCs w:val="20"/>
              </w:rPr>
            </w:pPr>
          </w:p>
        </w:tc>
        <w:tc>
          <w:tcPr>
            <w:tcW w:w="1042" w:type="pct"/>
            <w:shd w:val="clear" w:color="auto" w:fill="FFFFFF"/>
            <w:noWrap w:val="0"/>
            <w:vAlign w:val="center"/>
          </w:tcPr>
          <w:p>
            <w:pPr>
              <w:widowControl/>
              <w:spacing w:line="320" w:lineRule="exact"/>
              <w:rPr>
                <w:rFonts w:ascii="Times New Roman" w:hAnsi="Times New Roman" w:eastAsia="仿宋_GB2312"/>
                <w:color w:val="000000"/>
                <w:kern w:val="0"/>
                <w:sz w:val="20"/>
                <w:szCs w:val="20"/>
              </w:rPr>
            </w:pPr>
            <w:r>
              <w:rPr>
                <w:rFonts w:ascii="Times New Roman" w:hAnsi="Times New Roman" w:eastAsia="仿宋_GB2312"/>
                <w:color w:val="000000"/>
                <w:kern w:val="0"/>
                <w:sz w:val="20"/>
                <w:szCs w:val="20"/>
              </w:rPr>
              <w:t>安全评价报告</w:t>
            </w:r>
          </w:p>
        </w:tc>
        <w:tc>
          <w:tcPr>
            <w:tcW w:w="721" w:type="pct"/>
            <w:shd w:val="clear" w:color="auto" w:fill="FFFFFF"/>
            <w:noWrap w:val="0"/>
            <w:vAlign w:val="center"/>
          </w:tcPr>
          <w:p>
            <w:pPr>
              <w:widowControl/>
              <w:jc w:val="center"/>
              <w:rPr>
                <w:rFonts w:ascii="Times New Roman" w:hAnsi="Times New Roman" w:eastAsia="仿宋_GB2312"/>
                <w:kern w:val="0"/>
                <w:sz w:val="20"/>
                <w:szCs w:val="20"/>
              </w:rPr>
            </w:pPr>
            <w:r>
              <w:rPr>
                <w:rFonts w:hint="eastAsia" w:ascii="Times New Roman" w:hAnsi="Times New Roman" w:eastAsia="仿宋_GB2312"/>
                <w:color w:val="000000"/>
                <w:kern w:val="0"/>
                <w:sz w:val="20"/>
                <w:szCs w:val="20"/>
                <w:highlight w:val="none"/>
                <w:lang w:eastAsia="zh-CN"/>
              </w:rPr>
              <w:t>安全评价收费</w:t>
            </w:r>
          </w:p>
        </w:tc>
        <w:tc>
          <w:tcPr>
            <w:tcW w:w="493" w:type="pct"/>
            <w:shd w:val="clear" w:color="auto" w:fill="FFFFFF"/>
            <w:noWrap w:val="0"/>
            <w:vAlign w:val="center"/>
          </w:tcPr>
          <w:p>
            <w:pPr>
              <w:widowControl/>
              <w:rPr>
                <w:rFonts w:ascii="Times New Roman" w:hAnsi="Times New Roman" w:eastAsia="仿宋_GB2312"/>
                <w:kern w:val="0"/>
                <w:sz w:val="20"/>
                <w:szCs w:val="20"/>
              </w:rPr>
            </w:pPr>
            <w:r>
              <w:rPr>
                <w:rFonts w:hint="eastAsia" w:ascii="Times New Roman" w:hAnsi="Times New Roman" w:eastAsia="仿宋_GB2312"/>
                <w:color w:val="000000"/>
                <w:kern w:val="0"/>
                <w:sz w:val="20"/>
                <w:szCs w:val="20"/>
                <w:lang w:eastAsia="zh-CN"/>
              </w:rPr>
              <w:t>市场调节价</w:t>
            </w:r>
          </w:p>
        </w:tc>
        <w:tc>
          <w:tcPr>
            <w:tcW w:w="440" w:type="pct"/>
            <w:shd w:val="clear" w:color="auto" w:fill="FFFFFF"/>
            <w:noWrap w:val="0"/>
            <w:vAlign w:val="center"/>
          </w:tcPr>
          <w:p>
            <w:pPr>
              <w:widowControl/>
              <w:rPr>
                <w:rFonts w:ascii="Times New Roman" w:hAnsi="Times New Roman" w:eastAsia="仿宋_GB2312"/>
                <w:kern w:val="0"/>
                <w:sz w:val="20"/>
                <w:szCs w:val="20"/>
              </w:rPr>
            </w:pPr>
            <w:r>
              <w:rPr>
                <w:rFonts w:ascii="Times New Roman" w:hAnsi="Times New Roman" w:eastAsia="仿宋_GB2312"/>
                <w:kern w:val="0"/>
                <w:sz w:val="20"/>
                <w:szCs w:val="20"/>
              </w:rPr>
              <w:t>安全评价机构</w:t>
            </w:r>
          </w:p>
        </w:tc>
      </w:tr>
    </w:tbl>
    <w:p>
      <w:pPr>
        <w:widowControl/>
        <w:jc w:val="left"/>
        <w:rPr>
          <w:rFonts w:ascii="Times New Roman" w:hAnsi="Times New Roman" w:eastAsia="仿宋_GB2312"/>
          <w:sz w:val="32"/>
          <w:szCs w:val="32"/>
        </w:rPr>
        <w:sectPr>
          <w:footerReference r:id="rId3" w:type="default"/>
          <w:pgSz w:w="16838" w:h="11906" w:orient="landscape"/>
          <w:pgMar w:top="1474" w:right="1985" w:bottom="1588" w:left="2098" w:header="851" w:footer="992" w:gutter="0"/>
          <w:cols w:space="720" w:num="1"/>
          <w:docGrid w:type="lines" w:linePitch="312" w:charSpace="0"/>
        </w:sect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微软雅黑">
    <w:panose1 w:val="020B0502040204020203"/>
    <w:charset w:val="86"/>
    <w:family w:val="auto"/>
    <w:pitch w:val="default"/>
    <w:sig w:usb0="80000287" w:usb1="2ACF0010"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Cr8CP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y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BCr8CPHAQAAewMAAA4AAAAAAAAA&#10;AQAgAAAANAEAAGRycy9lMm9Eb2MueG1sUEsFBgAAAAAGAAYAWQEAAG0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E8970F"/>
    <w:rsid w:val="0DB661D0"/>
    <w:rsid w:val="0FBFF566"/>
    <w:rsid w:val="175A7E03"/>
    <w:rsid w:val="1AF791CA"/>
    <w:rsid w:val="2CFDF45A"/>
    <w:rsid w:val="2FBF9AF7"/>
    <w:rsid w:val="2FD6ABD1"/>
    <w:rsid w:val="2FDE26E0"/>
    <w:rsid w:val="2FF71359"/>
    <w:rsid w:val="2FFFDC8C"/>
    <w:rsid w:val="34E7BAA4"/>
    <w:rsid w:val="3763A926"/>
    <w:rsid w:val="377A8F56"/>
    <w:rsid w:val="37F1F25F"/>
    <w:rsid w:val="3B17B1F2"/>
    <w:rsid w:val="3ED26509"/>
    <w:rsid w:val="3EF98E3F"/>
    <w:rsid w:val="3EFB2FC0"/>
    <w:rsid w:val="3F49970E"/>
    <w:rsid w:val="3F5C350F"/>
    <w:rsid w:val="3F7A51C2"/>
    <w:rsid w:val="3FBF41C5"/>
    <w:rsid w:val="3FDC59AD"/>
    <w:rsid w:val="3FDF008C"/>
    <w:rsid w:val="3FFBB623"/>
    <w:rsid w:val="47B5721C"/>
    <w:rsid w:val="4BBF6125"/>
    <w:rsid w:val="4FBCCFF2"/>
    <w:rsid w:val="5153C018"/>
    <w:rsid w:val="55DD3E52"/>
    <w:rsid w:val="56DD6798"/>
    <w:rsid w:val="57EC52AF"/>
    <w:rsid w:val="57FB8063"/>
    <w:rsid w:val="59FF9DA6"/>
    <w:rsid w:val="5A9F0341"/>
    <w:rsid w:val="5ABF81C9"/>
    <w:rsid w:val="5AFF58CD"/>
    <w:rsid w:val="5BB73C00"/>
    <w:rsid w:val="5DFA8FD6"/>
    <w:rsid w:val="5DFEB87E"/>
    <w:rsid w:val="5EBC7952"/>
    <w:rsid w:val="5FBF293C"/>
    <w:rsid w:val="64338333"/>
    <w:rsid w:val="665FAE89"/>
    <w:rsid w:val="675EBD7E"/>
    <w:rsid w:val="67674BD3"/>
    <w:rsid w:val="69FD8CFF"/>
    <w:rsid w:val="6CF32E85"/>
    <w:rsid w:val="6CF4F4F8"/>
    <w:rsid w:val="6D67571F"/>
    <w:rsid w:val="6DB97BB3"/>
    <w:rsid w:val="6DDDBA7B"/>
    <w:rsid w:val="6E6720E7"/>
    <w:rsid w:val="6ED32DB5"/>
    <w:rsid w:val="6F7BAB32"/>
    <w:rsid w:val="6F7F0B12"/>
    <w:rsid w:val="6FFDC014"/>
    <w:rsid w:val="71FEDE1C"/>
    <w:rsid w:val="72EE7E29"/>
    <w:rsid w:val="73FE8F90"/>
    <w:rsid w:val="73FFC7D6"/>
    <w:rsid w:val="758C6510"/>
    <w:rsid w:val="75F66992"/>
    <w:rsid w:val="761E2727"/>
    <w:rsid w:val="766F5641"/>
    <w:rsid w:val="76775361"/>
    <w:rsid w:val="76BF34AE"/>
    <w:rsid w:val="76F76874"/>
    <w:rsid w:val="777FA9F7"/>
    <w:rsid w:val="77D3EF08"/>
    <w:rsid w:val="77E77FF9"/>
    <w:rsid w:val="787F421E"/>
    <w:rsid w:val="78CBF48C"/>
    <w:rsid w:val="793742FB"/>
    <w:rsid w:val="79DF6440"/>
    <w:rsid w:val="79F67822"/>
    <w:rsid w:val="7AAFFBB1"/>
    <w:rsid w:val="7BEC6464"/>
    <w:rsid w:val="7BFCE66A"/>
    <w:rsid w:val="7D7F5E38"/>
    <w:rsid w:val="7DDE8E0F"/>
    <w:rsid w:val="7DEF48F8"/>
    <w:rsid w:val="7DF6845D"/>
    <w:rsid w:val="7E790BF5"/>
    <w:rsid w:val="7EAF46AF"/>
    <w:rsid w:val="7EFD0F1A"/>
    <w:rsid w:val="7EFF6B94"/>
    <w:rsid w:val="7F1A9195"/>
    <w:rsid w:val="7F7F7B52"/>
    <w:rsid w:val="7FB606FC"/>
    <w:rsid w:val="7FBA3E9A"/>
    <w:rsid w:val="7FBFDCA6"/>
    <w:rsid w:val="7FC50C6F"/>
    <w:rsid w:val="7FCB75A7"/>
    <w:rsid w:val="7FDFCBE8"/>
    <w:rsid w:val="7FE8970F"/>
    <w:rsid w:val="7FED7D0D"/>
    <w:rsid w:val="7FEF0D08"/>
    <w:rsid w:val="7FF5BD95"/>
    <w:rsid w:val="7FF7E26A"/>
    <w:rsid w:val="7FFF2AA8"/>
    <w:rsid w:val="87BF7B43"/>
    <w:rsid w:val="8CDF5E2B"/>
    <w:rsid w:val="8CF7BAE0"/>
    <w:rsid w:val="8FD598AF"/>
    <w:rsid w:val="95BDC814"/>
    <w:rsid w:val="97B3ABAB"/>
    <w:rsid w:val="97FDA660"/>
    <w:rsid w:val="9B5A8BA4"/>
    <w:rsid w:val="9DB72B01"/>
    <w:rsid w:val="9F5E74D6"/>
    <w:rsid w:val="9FFF3855"/>
    <w:rsid w:val="A3AF323F"/>
    <w:rsid w:val="AABF1C69"/>
    <w:rsid w:val="ABF30550"/>
    <w:rsid w:val="AD7EDB1D"/>
    <w:rsid w:val="ADFB0BC8"/>
    <w:rsid w:val="AFDBF902"/>
    <w:rsid w:val="B4E90E60"/>
    <w:rsid w:val="BDBE7E4E"/>
    <w:rsid w:val="BE23C19E"/>
    <w:rsid w:val="BE6D7BD4"/>
    <w:rsid w:val="BEFE6EE1"/>
    <w:rsid w:val="BF3FC2B2"/>
    <w:rsid w:val="BF6382F6"/>
    <w:rsid w:val="BFAD9FF0"/>
    <w:rsid w:val="BFCF10F9"/>
    <w:rsid w:val="BFD7403A"/>
    <w:rsid w:val="BFF771BE"/>
    <w:rsid w:val="C5BC99D8"/>
    <w:rsid w:val="CBFFC159"/>
    <w:rsid w:val="CFF7C32D"/>
    <w:rsid w:val="D57FC2FB"/>
    <w:rsid w:val="D87BDB9C"/>
    <w:rsid w:val="DA73813F"/>
    <w:rsid w:val="DB9F8DD6"/>
    <w:rsid w:val="DDCFD03E"/>
    <w:rsid w:val="DDFAB692"/>
    <w:rsid w:val="DEF7DEF7"/>
    <w:rsid w:val="DEFEB7CD"/>
    <w:rsid w:val="DEFF19B9"/>
    <w:rsid w:val="DEFFCDDB"/>
    <w:rsid w:val="DF8ED19D"/>
    <w:rsid w:val="DFD78644"/>
    <w:rsid w:val="DFFEB014"/>
    <w:rsid w:val="E2F746E4"/>
    <w:rsid w:val="E7377987"/>
    <w:rsid w:val="E7FFAE90"/>
    <w:rsid w:val="E9BF09F0"/>
    <w:rsid w:val="EB4FDDF6"/>
    <w:rsid w:val="EBAF50B5"/>
    <w:rsid w:val="EBE73976"/>
    <w:rsid w:val="EE3F31B9"/>
    <w:rsid w:val="EE6750C8"/>
    <w:rsid w:val="EEFFB8AF"/>
    <w:rsid w:val="EF7F3D5A"/>
    <w:rsid w:val="EFF5B91E"/>
    <w:rsid w:val="EFFF5A4B"/>
    <w:rsid w:val="F0F6D036"/>
    <w:rsid w:val="F3DE6C28"/>
    <w:rsid w:val="F4B5BA3C"/>
    <w:rsid w:val="F5F7FDAD"/>
    <w:rsid w:val="F5FF3647"/>
    <w:rsid w:val="F6FF52CC"/>
    <w:rsid w:val="F759CEDF"/>
    <w:rsid w:val="F79D6C49"/>
    <w:rsid w:val="F7B5F7D8"/>
    <w:rsid w:val="F7DF5DCD"/>
    <w:rsid w:val="F7DFE2C7"/>
    <w:rsid w:val="F8B9E6EA"/>
    <w:rsid w:val="F8CEA721"/>
    <w:rsid w:val="FB089FFE"/>
    <w:rsid w:val="FB3F52B3"/>
    <w:rsid w:val="FB4B5F0C"/>
    <w:rsid w:val="FBEB9A74"/>
    <w:rsid w:val="FBEBD6DF"/>
    <w:rsid w:val="FBF9A15F"/>
    <w:rsid w:val="FBFA1250"/>
    <w:rsid w:val="FBFBE3B5"/>
    <w:rsid w:val="FDEF5311"/>
    <w:rsid w:val="FDFEC5F9"/>
    <w:rsid w:val="FEEDF6AB"/>
    <w:rsid w:val="FEFDDEEF"/>
    <w:rsid w:val="FEFF11E9"/>
    <w:rsid w:val="FF7F13A0"/>
    <w:rsid w:val="FF7F2309"/>
    <w:rsid w:val="FFBB16F2"/>
    <w:rsid w:val="FFBF32C0"/>
    <w:rsid w:val="FFBF4B62"/>
    <w:rsid w:val="FFEBC1E2"/>
    <w:rsid w:val="FFEF016C"/>
    <w:rsid w:val="FFF99231"/>
    <w:rsid w:val="FFFDF76F"/>
    <w:rsid w:val="FFFE3717"/>
    <w:rsid w:val="FFFE4260"/>
    <w:rsid w:val="FFFF51BD"/>
    <w:rsid w:val="FFFF89D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3308</Words>
  <Characters>3349</Characters>
  <Lines>0</Lines>
  <Paragraphs>0</Paragraphs>
  <TotalTime>8</TotalTime>
  <ScaleCrop>false</ScaleCrop>
  <LinksUpToDate>false</LinksUpToDate>
  <CharactersWithSpaces>3353</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2023-11-08T08:23:00Z</dcterms:created>
  <dc:creator>sugon</dc:creator>
  <cp:lastModifiedBy>kylin</cp:lastModifiedBy>
  <cp:lastPrinted>2024-03-20T07:55:00Z</cp:lastPrinted>
  <dcterms:modified xsi:type="dcterms:W3CDTF">2025-03-07T15:18:02Z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9C5016D2C4004031A484951913AA8CC1_13</vt:lpwstr>
  </property>
</Properties>
</file>