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C966F">
      <w:pPr>
        <w:spacing w:line="560" w:lineRule="exact"/>
        <w:jc w:val="center"/>
        <w:rPr>
          <w:rFonts w:hint="default" w:ascii="Times New Roman" w:hAnsi="Times New Roman" w:cs="Times New Roman"/>
        </w:rPr>
      </w:pPr>
      <w:bookmarkStart w:id="1" w:name="_GoBack"/>
      <w:bookmarkStart w:id="0" w:name="OLE_LINK1"/>
      <w:r>
        <w:rPr>
          <w:rFonts w:hint="default" w:ascii="Times New Roman" w:hAnsi="Times New Roman" w:eastAsia="方正小标宋简体" w:cs="Times New Roman"/>
          <w:sz w:val="44"/>
          <w:szCs w:val="44"/>
        </w:rPr>
        <w:t>天津市宁河区人民政府办公室关于印发宁河区2026年食品安全监督管理计划的通知</w:t>
      </w:r>
    </w:p>
    <w:p w14:paraId="1C4859FB">
      <w:pPr>
        <w:spacing w:line="560" w:lineRule="exact"/>
        <w:rPr>
          <w:rFonts w:hint="default" w:ascii="Times New Roman" w:hAnsi="Times New Roman" w:cs="Times New Roman"/>
        </w:rPr>
      </w:pPr>
    </w:p>
    <w:p w14:paraId="280B407C">
      <w:pPr>
        <w:spacing w:line="560" w:lineRule="exact"/>
        <w:rPr>
          <w:rFonts w:hint="default" w:ascii="Times New Roman" w:hAnsi="Times New Roman" w:cs="Times New Roman"/>
        </w:rPr>
      </w:pPr>
      <w:r>
        <w:rPr>
          <w:rFonts w:hint="default" w:ascii="Times New Roman" w:hAnsi="Times New Roman" w:cs="Times New Roman"/>
        </w:rPr>
        <w:t>各镇人民政府、街道办事处，有关委、办、局：</w:t>
      </w:r>
    </w:p>
    <w:p w14:paraId="49F19C7D">
      <w:pPr>
        <w:spacing w:line="560" w:lineRule="exact"/>
        <w:ind w:firstLine="632" w:firstLineChars="200"/>
        <w:rPr>
          <w:rFonts w:hint="default" w:ascii="Times New Roman" w:hAnsi="Times New Roman" w:cs="Times New Roman"/>
        </w:rPr>
      </w:pPr>
      <w:r>
        <w:rPr>
          <w:rFonts w:hint="default" w:ascii="Times New Roman" w:hAnsi="Times New Roman" w:cs="Times New Roman"/>
        </w:rPr>
        <w:t>经区人民政府同意，现将《宁河区2026年食品安全监督管理计划》印发给你们，请遵照执行。</w:t>
      </w:r>
    </w:p>
    <w:p w14:paraId="7756C42B">
      <w:pPr>
        <w:spacing w:line="560" w:lineRule="exact"/>
        <w:ind w:firstLine="632" w:firstLineChars="200"/>
        <w:rPr>
          <w:rFonts w:hint="default" w:ascii="Times New Roman" w:hAnsi="Times New Roman" w:cs="Times New Roman"/>
        </w:rPr>
      </w:pPr>
    </w:p>
    <w:p w14:paraId="43DA28E7">
      <w:pPr>
        <w:spacing w:line="560" w:lineRule="exact"/>
        <w:ind w:firstLine="632" w:firstLineChars="200"/>
        <w:rPr>
          <w:rFonts w:hint="default" w:ascii="Times New Roman" w:hAnsi="Times New Roman" w:cs="Times New Roman"/>
        </w:rPr>
      </w:pPr>
    </w:p>
    <w:p w14:paraId="43F5E5F9">
      <w:pPr>
        <w:spacing w:line="560" w:lineRule="exact"/>
        <w:ind w:firstLine="632" w:firstLineChars="200"/>
        <w:rPr>
          <w:rFonts w:hint="default" w:ascii="Times New Roman" w:hAnsi="Times New Roman" w:cs="Times New Roman"/>
        </w:rPr>
      </w:pPr>
    </w:p>
    <w:p w14:paraId="34EB20E2">
      <w:pPr>
        <w:wordWrap w:val="0"/>
        <w:spacing w:line="560" w:lineRule="exact"/>
        <w:ind w:firstLine="632" w:firstLineChars="200"/>
        <w:jc w:val="right"/>
        <w:rPr>
          <w:rFonts w:hint="default" w:ascii="Times New Roman" w:hAnsi="Times New Roman" w:eastAsia="仿宋_GB2312" w:cs="Times New Roman"/>
          <w:lang w:val="en-US" w:eastAsia="zh-CN"/>
        </w:rPr>
      </w:pPr>
      <w:r>
        <w:rPr>
          <w:rFonts w:hint="default" w:ascii="Times New Roman" w:hAnsi="Times New Roman" w:cs="Times New Roman"/>
        </w:rPr>
        <w:t xml:space="preserve">                                2026年6月</w:t>
      </w:r>
      <w:r>
        <w:rPr>
          <w:rFonts w:hint="default" w:ascii="Times New Roman" w:hAnsi="Times New Roman" w:cs="Times New Roman"/>
          <w:lang w:val="en-US" w:eastAsia="zh-CN"/>
        </w:rPr>
        <w:t>19</w:t>
      </w:r>
      <w:r>
        <w:rPr>
          <w:rFonts w:hint="default" w:ascii="Times New Roman" w:hAnsi="Times New Roman" w:cs="Times New Roman"/>
        </w:rPr>
        <w:t>日</w:t>
      </w:r>
      <w:r>
        <w:rPr>
          <w:rFonts w:hint="default" w:ascii="Times New Roman" w:hAnsi="Times New Roman" w:cs="Times New Roman"/>
          <w:lang w:val="en-US" w:eastAsia="zh-CN"/>
        </w:rPr>
        <w:t xml:space="preserve">      </w:t>
      </w:r>
    </w:p>
    <w:p w14:paraId="48A7EAF8">
      <w:pPr>
        <w:spacing w:line="560" w:lineRule="exact"/>
        <w:ind w:firstLine="632" w:firstLineChars="200"/>
        <w:rPr>
          <w:rFonts w:hint="default" w:ascii="Times New Roman" w:hAnsi="Times New Roman" w:cs="Times New Roman"/>
          <w:sz w:val="28"/>
          <w:szCs w:val="28"/>
        </w:rPr>
      </w:pPr>
      <w:r>
        <w:rPr>
          <w:rFonts w:hint="default" w:ascii="Times New Roman" w:hAnsi="Times New Roman" w:cs="Times New Roman"/>
        </w:rPr>
        <w:t>（此件主动公开）</w:t>
      </w:r>
    </w:p>
    <w:p w14:paraId="73866E2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14:paraId="67B8261D">
      <w:pPr>
        <w:spacing w:line="560" w:lineRule="exact"/>
        <w:rPr>
          <w:rFonts w:hint="default" w:ascii="Times New Roman" w:hAnsi="Times New Roman" w:cs="Times New Roman"/>
          <w:sz w:val="28"/>
          <w:szCs w:val="28"/>
        </w:rPr>
      </w:pPr>
    </w:p>
    <w:p w14:paraId="220E94F6">
      <w:pPr>
        <w:spacing w:line="620" w:lineRule="exact"/>
        <w:jc w:val="center"/>
        <w:rPr>
          <w:rFonts w:hint="eastAsia" w:ascii="方正小标宋简体" w:hAnsi="方正小标宋简体" w:eastAsia="方正小标宋简体" w:cs="方正小标宋简体"/>
          <w:kern w:val="0"/>
          <w:sz w:val="44"/>
          <w:szCs w:val="44"/>
        </w:rPr>
      </w:pPr>
    </w:p>
    <w:p w14:paraId="783AC93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37CDC0D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6C9DCCA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35B635A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71958F9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7195C1D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014AF99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p>
    <w:p w14:paraId="475E281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宁河区</w:t>
      </w:r>
      <w:r>
        <w:rPr>
          <w:rFonts w:hint="default" w:ascii="Times New Roman" w:hAnsi="Times New Roman" w:eastAsia="方正小标宋简体" w:cs="Times New Roman"/>
          <w:kern w:val="0"/>
          <w:sz w:val="44"/>
          <w:szCs w:val="44"/>
        </w:rPr>
        <w:t>2026</w:t>
      </w:r>
      <w:r>
        <w:rPr>
          <w:rFonts w:hint="eastAsia" w:ascii="方正小标宋简体" w:hAnsi="方正小标宋简体" w:eastAsia="方正小标宋简体" w:cs="方正小标宋简体"/>
          <w:kern w:val="0"/>
          <w:sz w:val="44"/>
          <w:szCs w:val="44"/>
        </w:rPr>
        <w:t>年食品安全监督管理计划</w:t>
      </w:r>
    </w:p>
    <w:p w14:paraId="69AB49EC">
      <w:pPr>
        <w:keepNext w:val="0"/>
        <w:keepLines w:val="0"/>
        <w:pageBreakBefore w:val="0"/>
        <w:kinsoku/>
        <w:wordWrap/>
        <w:overflowPunct/>
        <w:topLinePunct w:val="0"/>
        <w:bidi w:val="0"/>
        <w:snapToGrid/>
        <w:spacing w:line="560" w:lineRule="exact"/>
        <w:ind w:firstLine="632" w:firstLineChars="200"/>
        <w:textAlignment w:val="auto"/>
        <w:rPr>
          <w:rFonts w:hint="eastAsia" w:ascii="仿宋_GB2312" w:hAnsi="仿宋_GB2312" w:eastAsia="仿宋_GB2312" w:cs="仿宋_GB2312"/>
          <w:kern w:val="0"/>
          <w:sz w:val="32"/>
          <w:szCs w:val="32"/>
        </w:rPr>
      </w:pPr>
    </w:p>
    <w:p w14:paraId="7CCCC4F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2026年是“十五五”规划开局之年，全区食品安全工作坚持以习近平新时代中国特色社会主义思想为指导，全面贯彻党的二十大和二十届历次全会精神，立足我区食品产业实际，持续深化监管改革、健全责任体系、强化全链条防控，推动食品安全治理</w:t>
      </w:r>
      <w:r>
        <w:rPr>
          <w:rFonts w:hint="eastAsia" w:ascii="Times New Roman" w:hAnsi="Times New Roman" w:eastAsia="仿宋_GB2312" w:cs="Times New Roman"/>
          <w:kern w:val="0"/>
          <w:sz w:val="32"/>
          <w:szCs w:val="32"/>
          <w:lang w:eastAsia="zh-CN"/>
        </w:rPr>
        <w:t>智慧化水平</w:t>
      </w:r>
      <w:r>
        <w:rPr>
          <w:rFonts w:hint="default" w:ascii="Times New Roman" w:hAnsi="Times New Roman" w:eastAsia="仿宋_GB2312" w:cs="Times New Roman"/>
          <w:kern w:val="0"/>
          <w:sz w:val="32"/>
          <w:szCs w:val="32"/>
        </w:rPr>
        <w:t>。根据《天津市2026年食品安全监督管理计划》，结合我区实际，制定本计划。</w:t>
      </w:r>
    </w:p>
    <w:p w14:paraId="7516214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一、推进责任落实，完善责任体系</w:t>
      </w:r>
    </w:p>
    <w:p w14:paraId="0B1ED18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（一）强化企业主体责任。</w:t>
      </w:r>
      <w:r>
        <w:rPr>
          <w:rFonts w:hint="default" w:ascii="Times New Roman" w:hAnsi="Times New Roman" w:eastAsia="仿宋_GB2312" w:cs="Times New Roman"/>
          <w:kern w:val="0"/>
          <w:sz w:val="32"/>
          <w:szCs w:val="32"/>
        </w:rPr>
        <w:t>督促指导食品生产经营企业落实主体责任。聚焦“芦”字头、“海”字号特色食品及预制菜、酒类等重点品类，建立个性化风险管控清单，提升企业风险防控精准度。</w:t>
      </w:r>
      <w:r>
        <w:rPr>
          <w:rFonts w:hint="eastAsia" w:ascii="楷体_GB2312" w:hAnsi="楷体_GB2312" w:eastAsia="楷体_GB2312" w:cs="楷体_GB2312"/>
          <w:kern w:val="0"/>
          <w:sz w:val="32"/>
          <w:szCs w:val="32"/>
        </w:rPr>
        <w:t>（区市场监管局）</w:t>
      </w:r>
    </w:p>
    <w:p w14:paraId="44B2103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（二）落实属地管理责任。</w:t>
      </w:r>
      <w:r>
        <w:rPr>
          <w:rFonts w:hint="default" w:ascii="Times New Roman" w:hAnsi="Times New Roman" w:eastAsia="仿宋_GB2312" w:cs="Times New Roman"/>
          <w:kern w:val="0"/>
          <w:sz w:val="32"/>
          <w:szCs w:val="32"/>
        </w:rPr>
        <w:t>落实“1+1+N”闭环管理措施，建立食品安全重点风险清单，根据风险等级科学设定包保频次，指导包保干部照单履职，优化属地管理责任。</w:t>
      </w:r>
      <w:r>
        <w:rPr>
          <w:rFonts w:hint="eastAsia" w:ascii="楷体_GB2312" w:hAnsi="楷体_GB2312" w:eastAsia="楷体_GB2312" w:cs="楷体_GB2312"/>
          <w:kern w:val="0"/>
          <w:sz w:val="32"/>
          <w:szCs w:val="32"/>
        </w:rPr>
        <w:t>（区食药安办、各镇街、园区管委会、兴宁集团按职责落实）</w:t>
      </w:r>
    </w:p>
    <w:p w14:paraId="50A0A58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1"/>
          <w:sz w:val="32"/>
          <w:szCs w:val="32"/>
        </w:rPr>
      </w:pPr>
      <w:r>
        <w:rPr>
          <w:rFonts w:hint="eastAsia" w:ascii="楷体_GB2312" w:hAnsi="楷体_GB2312" w:eastAsia="楷体_GB2312" w:cs="楷体_GB2312"/>
          <w:kern w:val="0"/>
          <w:sz w:val="32"/>
          <w:szCs w:val="32"/>
        </w:rPr>
        <w:t>（三）压实部门管理责任。</w:t>
      </w:r>
      <w:r>
        <w:rPr>
          <w:rFonts w:hint="default" w:ascii="Times New Roman" w:hAnsi="Times New Roman" w:eastAsia="仿宋_GB2312" w:cs="Times New Roman"/>
          <w:kern w:val="0"/>
          <w:sz w:val="32"/>
          <w:szCs w:val="32"/>
        </w:rPr>
        <w:t>贯彻“管行业必须管安全”要求，落实校园等集中用餐单位和商贸流通、仓储运输、寄递</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配送等行业主管部门的管理责任，防范食品安全风险。</w:t>
      </w:r>
      <w:r>
        <w:rPr>
          <w:rFonts w:hint="eastAsia" w:ascii="楷体_GB2312" w:hAnsi="楷体_GB2312" w:eastAsia="楷体_GB2312" w:cs="楷体_GB2312"/>
          <w:kern w:val="0"/>
          <w:sz w:val="32"/>
          <w:szCs w:val="32"/>
        </w:rPr>
        <w:t>（区食药安委相关成员单位按职责落实）</w:t>
      </w:r>
      <w:r>
        <w:rPr>
          <w:rFonts w:hint="default" w:ascii="Times New Roman" w:hAnsi="Times New Roman" w:eastAsia="仿宋_GB2312" w:cs="Times New Roman"/>
          <w:kern w:val="0"/>
          <w:sz w:val="32"/>
          <w:szCs w:val="32"/>
        </w:rPr>
        <w:t>加强旅游景区、星级饭店、非星级酒店等重点场所食品安全协同管理。</w:t>
      </w:r>
      <w:r>
        <w:rPr>
          <w:rFonts w:hint="eastAsia" w:ascii="楷体_GB2312" w:hAnsi="楷体_GB2312" w:eastAsia="楷体_GB2312" w:cs="楷体_GB2312"/>
          <w:kern w:val="1"/>
          <w:sz w:val="32"/>
          <w:szCs w:val="32"/>
        </w:rPr>
        <w:t>（区文旅局、区商务局、区市场监管局按职责落实）</w:t>
      </w:r>
    </w:p>
    <w:p w14:paraId="3F311D1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二、严格防控风险，强化全链条食品安全监管</w:t>
      </w:r>
    </w:p>
    <w:p w14:paraId="55FC1E8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（四）净化产地环境，强化源头治理。</w:t>
      </w:r>
      <w:r>
        <w:rPr>
          <w:rFonts w:hint="eastAsia" w:ascii="仿宋_GB2312" w:hAnsi="仿宋_GB2312" w:eastAsia="仿宋_GB2312" w:cs="仿宋_GB2312"/>
          <w:kern w:val="0"/>
          <w:sz w:val="32"/>
          <w:szCs w:val="32"/>
        </w:rPr>
        <w:t>深入推进农用地土壤重金属污染溯源整治和挥发性有机物综合治理。</w:t>
      </w:r>
      <w:r>
        <w:rPr>
          <w:rFonts w:hint="eastAsia" w:ascii="楷体_GB2312" w:hAnsi="楷体_GB2312" w:eastAsia="楷体_GB2312" w:cs="楷体_GB2312"/>
          <w:kern w:val="1"/>
          <w:sz w:val="32"/>
          <w:szCs w:val="32"/>
        </w:rPr>
        <w:t>（区生态环境局）</w:t>
      </w:r>
      <w:r>
        <w:rPr>
          <w:rFonts w:hint="eastAsia" w:ascii="仿宋_GB2312" w:hAnsi="仿宋_GB2312" w:eastAsia="仿宋_GB2312" w:cs="仿宋_GB2312"/>
          <w:kern w:val="0"/>
          <w:sz w:val="32"/>
          <w:szCs w:val="32"/>
        </w:rPr>
        <w:t>严格耕地分类管理，提升受污染耕地安全利用水平。开展地产食用农产品专项整治行动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color w:val="000000"/>
          <w:kern w:val="0"/>
          <w:sz w:val="32"/>
          <w:szCs w:val="32"/>
        </w:rPr>
        <w:t>规范畜禽、水产养殖用药。</w:t>
      </w:r>
      <w:r>
        <w:rPr>
          <w:rFonts w:hint="eastAsia" w:ascii="仿宋_GB2312" w:hAnsi="仿宋_GB2312" w:eastAsia="仿宋_GB2312" w:cs="仿宋_GB2312"/>
          <w:kern w:val="0"/>
          <w:sz w:val="32"/>
          <w:szCs w:val="32"/>
        </w:rPr>
        <w:t>开展豇豆、甘薯、葱农药残留和鸡蛋、鳊鱼药物残留突出问题攻坚治理，加大抽检力度。</w:t>
      </w:r>
      <w:r>
        <w:rPr>
          <w:rFonts w:hint="eastAsia" w:ascii="楷体_GB2312" w:hAnsi="楷体_GB2312" w:eastAsia="楷体_GB2312" w:cs="楷体_GB2312"/>
          <w:kern w:val="0"/>
          <w:sz w:val="32"/>
          <w:szCs w:val="32"/>
        </w:rPr>
        <w:t>（区农业农村委）</w:t>
      </w:r>
    </w:p>
    <w:p w14:paraId="5C1A7A2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（五）加强粮食质量安全监管。</w:t>
      </w:r>
      <w:r>
        <w:rPr>
          <w:rFonts w:hint="eastAsia" w:ascii="仿宋_GB2312" w:hAnsi="仿宋_GB2312" w:eastAsia="仿宋_GB2312" w:cs="仿宋_GB2312"/>
          <w:kern w:val="0"/>
          <w:sz w:val="32"/>
          <w:szCs w:val="32"/>
        </w:rPr>
        <w:t>健全区级政府粮食储备质量安全管理制度，做好收购粮食质量安全风险监测工作。实施政策性粮食出入库第三方检验，加强粮食收购、储存者使用运输工具及运输行为质量安全监管，推广绿色储粮技术应用，建设现代化绿色粮仓。</w:t>
      </w:r>
      <w:r>
        <w:rPr>
          <w:rFonts w:hint="eastAsia" w:ascii="楷体_GB2312" w:hAnsi="楷体_GB2312" w:eastAsia="楷体_GB2312" w:cs="楷体_GB2312"/>
          <w:kern w:val="0"/>
          <w:sz w:val="32"/>
          <w:szCs w:val="32"/>
        </w:rPr>
        <w:t>（区发改委）</w:t>
      </w:r>
    </w:p>
    <w:p w14:paraId="0C6B549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楷体_GB2312" w:hAnsi="楷体_GB2312" w:eastAsia="楷体_GB2312" w:cs="楷体_GB2312"/>
          <w:kern w:val="0"/>
          <w:sz w:val="32"/>
          <w:szCs w:val="32"/>
        </w:rPr>
        <w:t>（六）严格生产经营过程监管。</w:t>
      </w:r>
      <w:r>
        <w:rPr>
          <w:rFonts w:hint="eastAsia" w:ascii="仿宋_GB2312" w:hAnsi="仿宋_GB2312" w:eastAsia="仿宋_GB2312" w:cs="仿宋_GB2312"/>
          <w:kern w:val="0"/>
          <w:sz w:val="32"/>
          <w:szCs w:val="32"/>
        </w:rPr>
        <w:t>加强风险分级监管，常态化开展证后审查、飞行检查、体系检查，排查治理风险隐患。</w:t>
      </w:r>
      <w:r>
        <w:rPr>
          <w:rFonts w:hint="eastAsia" w:ascii="楷体_GB2312" w:hAnsi="楷体_GB2312" w:eastAsia="楷体_GB2312" w:cs="楷体_GB2312"/>
          <w:kern w:val="0"/>
          <w:sz w:val="32"/>
          <w:szCs w:val="32"/>
        </w:rPr>
        <w:t>（区市场监管局）</w:t>
      </w:r>
      <w:r>
        <w:rPr>
          <w:rFonts w:hint="eastAsia" w:ascii="仿宋_GB2312" w:hAnsi="仿宋_GB2312" w:eastAsia="仿宋_GB2312" w:cs="仿宋_GB2312"/>
          <w:kern w:val="0"/>
          <w:sz w:val="32"/>
          <w:szCs w:val="32"/>
        </w:rPr>
        <w:t>加强预制菜生产过程监管，推广餐饮环节菜品加工制作方式自主明示。</w:t>
      </w:r>
      <w:r>
        <w:rPr>
          <w:rFonts w:hint="eastAsia" w:ascii="楷体_GB2312" w:hAnsi="楷体_GB2312" w:eastAsia="楷体_GB2312" w:cs="楷体_GB2312"/>
          <w:kern w:val="0"/>
          <w:sz w:val="32"/>
          <w:szCs w:val="32"/>
        </w:rPr>
        <w:t>（区市场监管局、区商务局按职责落实）</w:t>
      </w:r>
      <w:r>
        <w:rPr>
          <w:rFonts w:hint="eastAsia" w:ascii="仿宋_GB2312" w:hAnsi="仿宋_GB2312" w:eastAsia="仿宋_GB2312" w:cs="仿宋_GB2312"/>
          <w:kern w:val="0"/>
          <w:sz w:val="32"/>
          <w:szCs w:val="32"/>
        </w:rPr>
        <w:t>强化清真食品备案和监管。</w:t>
      </w:r>
      <w:r>
        <w:rPr>
          <w:rFonts w:hint="eastAsia" w:ascii="楷体_GB2312" w:hAnsi="楷体_GB2312" w:eastAsia="楷体_GB2312" w:cs="楷体_GB2312"/>
          <w:kern w:val="0"/>
          <w:sz w:val="32"/>
          <w:szCs w:val="32"/>
        </w:rPr>
        <w:t>（区民宗委、区市场监管局按职责落实）</w:t>
      </w:r>
      <w:r>
        <w:rPr>
          <w:rFonts w:hint="eastAsia" w:ascii="仿宋_GB2312" w:hAnsi="仿宋_GB2312" w:eastAsia="仿宋_GB2312" w:cs="仿宋_GB2312"/>
          <w:kern w:val="0"/>
          <w:sz w:val="32"/>
          <w:szCs w:val="32"/>
        </w:rPr>
        <w:t>组织开展农村假冒伪劣食品、制售假劣肉制品、酒类制假售假等突出问题整治。加强食品添加剂滥用综合治理，严厉打击化工产品冒充食品添加剂行为。</w:t>
      </w:r>
      <w:r>
        <w:rPr>
          <w:rFonts w:hint="eastAsia" w:ascii="楷体_GB2312" w:hAnsi="楷体_GB2312" w:eastAsia="楷体_GB2312" w:cs="楷体_GB2312"/>
          <w:kern w:val="0"/>
          <w:sz w:val="32"/>
          <w:szCs w:val="32"/>
        </w:rPr>
        <w:t>（区食药安办、区市场监管局、区农业农村委、</w:t>
      </w:r>
      <w:r>
        <w:rPr>
          <w:rFonts w:hint="eastAsia" w:ascii="楷体_GB2312" w:hAnsi="楷体_GB2312" w:eastAsia="楷体_GB2312" w:cs="楷体_GB2312"/>
          <w:color w:val="auto"/>
          <w:kern w:val="0"/>
          <w:sz w:val="32"/>
          <w:szCs w:val="32"/>
        </w:rPr>
        <w:t>区工信局、</w:t>
      </w:r>
      <w:r>
        <w:rPr>
          <w:rFonts w:hint="eastAsia" w:ascii="楷体_GB2312" w:hAnsi="楷体_GB2312" w:eastAsia="楷体_GB2312" w:cs="楷体_GB2312"/>
          <w:kern w:val="0"/>
          <w:sz w:val="32"/>
          <w:szCs w:val="32"/>
        </w:rPr>
        <w:t>宁河海关、区卫健委按职责落实）</w:t>
      </w:r>
    </w:p>
    <w:p w14:paraId="2E8C2FF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（七）加强</w:t>
      </w:r>
      <w:r>
        <w:rPr>
          <w:rFonts w:hint="default" w:ascii="Times New Roman" w:hAnsi="Times New Roman" w:eastAsia="楷体_GB2312" w:cs="Times New Roman"/>
          <w:kern w:val="0"/>
          <w:sz w:val="32"/>
          <w:szCs w:val="32"/>
        </w:rPr>
        <w:t>“一老一小”</w:t>
      </w:r>
      <w:r>
        <w:rPr>
          <w:rFonts w:hint="eastAsia" w:ascii="楷体_GB2312" w:hAnsi="楷体_GB2312" w:eastAsia="楷体_GB2312" w:cs="楷体_GB2312"/>
          <w:kern w:val="0"/>
          <w:sz w:val="32"/>
          <w:szCs w:val="32"/>
        </w:rPr>
        <w:t>食品安全监管。</w:t>
      </w:r>
      <w:r>
        <w:rPr>
          <w:rFonts w:hint="eastAsia" w:ascii="仿宋_GB2312" w:hAnsi="仿宋_GB2312" w:eastAsia="仿宋_GB2312" w:cs="仿宋_GB2312"/>
          <w:kern w:val="0"/>
          <w:sz w:val="32"/>
          <w:szCs w:val="32"/>
        </w:rPr>
        <w:t>加强养老服务领域食品安全监管。</w:t>
      </w:r>
      <w:r>
        <w:rPr>
          <w:rFonts w:hint="eastAsia" w:ascii="楷体_GB2312" w:hAnsi="楷体_GB2312" w:eastAsia="楷体_GB2312" w:cs="楷体_GB2312"/>
          <w:kern w:val="0"/>
          <w:sz w:val="32"/>
          <w:szCs w:val="32"/>
        </w:rPr>
        <w:t>（区民政局、区市场监管局按职责落实）</w:t>
      </w:r>
      <w:r>
        <w:rPr>
          <w:rFonts w:hint="eastAsia" w:ascii="仿宋_GB2312" w:hAnsi="仿宋_GB2312" w:eastAsia="仿宋_GB2312" w:cs="仿宋_GB2312"/>
          <w:color w:val="auto"/>
          <w:kern w:val="0"/>
          <w:sz w:val="32"/>
          <w:szCs w:val="32"/>
        </w:rPr>
        <w:t>开展保健食品护老提升专项行动，规范行业发展。</w:t>
      </w:r>
      <w:r>
        <w:rPr>
          <w:rFonts w:hint="eastAsia" w:ascii="楷体_GB2312" w:hAnsi="楷体_GB2312" w:eastAsia="楷体_GB2312" w:cs="楷体_GB2312"/>
          <w:color w:val="auto"/>
          <w:kern w:val="0"/>
          <w:sz w:val="32"/>
          <w:szCs w:val="32"/>
        </w:rPr>
        <w:t>（区市场监管局、区工信局按职责落实）</w:t>
      </w:r>
      <w:r>
        <w:rPr>
          <w:rFonts w:hint="eastAsia" w:ascii="仿宋_GB2312" w:hAnsi="仿宋_GB2312" w:eastAsia="仿宋_GB2312" w:cs="仿宋_GB2312"/>
          <w:kern w:val="0"/>
          <w:sz w:val="32"/>
          <w:szCs w:val="32"/>
        </w:rPr>
        <w:t>加强婴幼儿配方食品和辅助食品安全监管。</w:t>
      </w:r>
      <w:r>
        <w:rPr>
          <w:rFonts w:hint="eastAsia" w:ascii="楷体_GB2312" w:hAnsi="楷体_GB2312" w:eastAsia="楷体_GB2312" w:cs="楷体_GB2312"/>
          <w:kern w:val="0"/>
          <w:sz w:val="32"/>
          <w:szCs w:val="32"/>
        </w:rPr>
        <w:t>（区市场监管局）</w:t>
      </w:r>
      <w:r>
        <w:rPr>
          <w:rFonts w:hint="eastAsia" w:ascii="仿宋_GB2312" w:hAnsi="仿宋_GB2312" w:eastAsia="仿宋_GB2312" w:cs="仿宋_GB2312"/>
          <w:kern w:val="0"/>
          <w:sz w:val="32"/>
          <w:szCs w:val="32"/>
        </w:rPr>
        <w:t>强化校园食品安全全链条监管，推进校园食堂复建改扩建，规范食堂承包经营行为和校外供餐管理，完善食材集中采购机制。</w:t>
      </w:r>
      <w:r>
        <w:rPr>
          <w:rFonts w:hint="eastAsia" w:ascii="楷体_GB2312" w:hAnsi="楷体_GB2312" w:eastAsia="楷体_GB2312" w:cs="楷体_GB2312"/>
          <w:kern w:val="0"/>
          <w:sz w:val="32"/>
          <w:szCs w:val="32"/>
        </w:rPr>
        <w:t>（区教育局、区市场监管局按职责落实）</w:t>
      </w:r>
      <w:r>
        <w:rPr>
          <w:rFonts w:hint="eastAsia" w:ascii="仿宋_GB2312" w:hAnsi="仿宋_GB2312" w:eastAsia="仿宋_GB2312" w:cs="仿宋_GB2312"/>
          <w:kern w:val="0"/>
          <w:sz w:val="32"/>
          <w:szCs w:val="32"/>
        </w:rPr>
        <w:t>加强直供学校种养殖基地农产品质量安全监管。</w:t>
      </w:r>
      <w:r>
        <w:rPr>
          <w:rFonts w:hint="eastAsia" w:ascii="楷体_GB2312" w:hAnsi="楷体_GB2312" w:eastAsia="楷体_GB2312" w:cs="楷体_GB2312"/>
          <w:kern w:val="0"/>
          <w:sz w:val="32"/>
          <w:szCs w:val="32"/>
        </w:rPr>
        <w:t>（区农业农村委）</w:t>
      </w:r>
      <w:r>
        <w:rPr>
          <w:rFonts w:hint="eastAsia" w:ascii="仿宋_GB2312" w:hAnsi="仿宋_GB2312" w:eastAsia="仿宋_GB2312" w:cs="仿宋_GB2312"/>
          <w:kern w:val="0"/>
          <w:sz w:val="32"/>
          <w:szCs w:val="32"/>
        </w:rPr>
        <w:t>深化落实陪同就餐制度，构建</w:t>
      </w:r>
      <w:r>
        <w:rPr>
          <w:rFonts w:hint="default" w:ascii="Times New Roman" w:hAnsi="Times New Roman" w:eastAsia="仿宋_GB2312" w:cs="Times New Roman"/>
          <w:kern w:val="0"/>
          <w:sz w:val="32"/>
          <w:szCs w:val="32"/>
        </w:rPr>
        <w:t>“家校社”</w:t>
      </w:r>
      <w:r>
        <w:rPr>
          <w:rFonts w:hint="eastAsia" w:ascii="仿宋_GB2312" w:hAnsi="仿宋_GB2312" w:eastAsia="仿宋_GB2312" w:cs="仿宋_GB2312"/>
          <w:kern w:val="0"/>
          <w:sz w:val="32"/>
          <w:szCs w:val="32"/>
        </w:rPr>
        <w:t>食品安全共管共治格局。</w:t>
      </w:r>
      <w:r>
        <w:rPr>
          <w:rFonts w:hint="eastAsia" w:ascii="楷体_GB2312" w:hAnsi="楷体_GB2312" w:eastAsia="楷体_GB2312" w:cs="楷体_GB2312"/>
          <w:kern w:val="0"/>
          <w:sz w:val="32"/>
          <w:szCs w:val="32"/>
        </w:rPr>
        <w:t>（区教育局）</w:t>
      </w:r>
    </w:p>
    <w:p w14:paraId="0962BA0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（八）强化网络食品安全监管。</w:t>
      </w:r>
      <w:r>
        <w:rPr>
          <w:rFonts w:hint="eastAsia" w:ascii="仿宋_GB2312" w:hAnsi="仿宋_GB2312" w:eastAsia="仿宋_GB2312" w:cs="仿宋_GB2312"/>
          <w:kern w:val="0"/>
          <w:sz w:val="32"/>
          <w:szCs w:val="32"/>
        </w:rPr>
        <w:t>落实群众身边不正之风和腐败问题集中整治要求，开展网络食品安全合规提质行动，治理幽灵外卖、无堂食外卖经营场所环境不整洁、健康证明造假等问题，督促入网餐饮服务提供者按许可经营。</w:t>
      </w:r>
      <w:r>
        <w:rPr>
          <w:rFonts w:hint="eastAsia" w:ascii="楷体_GB2312" w:hAnsi="楷体_GB2312" w:eastAsia="楷体_GB2312" w:cs="楷体_GB2312"/>
          <w:kern w:val="0"/>
          <w:sz w:val="32"/>
          <w:szCs w:val="32"/>
        </w:rPr>
        <w:t>（区市场监管局、公安宁河分局、区卫健委按职责落实）</w:t>
      </w:r>
    </w:p>
    <w:p w14:paraId="7C36329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（九）加强仓储运输配送监管。</w:t>
      </w:r>
      <w:r>
        <w:rPr>
          <w:rFonts w:hint="eastAsia" w:ascii="仿宋_GB2312" w:hAnsi="仿宋_GB2312" w:eastAsia="仿宋_GB2312" w:cs="仿宋_GB2312"/>
          <w:kern w:val="0"/>
          <w:sz w:val="32"/>
          <w:szCs w:val="32"/>
        </w:rPr>
        <w:t>落实食品贮存监管制度，规范贮存经营行为。</w:t>
      </w:r>
      <w:r>
        <w:rPr>
          <w:rFonts w:hint="eastAsia" w:ascii="楷体_GB2312" w:hAnsi="楷体_GB2312" w:eastAsia="楷体_GB2312" w:cs="楷体_GB2312"/>
          <w:color w:val="000000"/>
          <w:kern w:val="1"/>
          <w:sz w:val="32"/>
          <w:szCs w:val="32"/>
        </w:rPr>
        <w:t>（区农业农村委、宁河海关、区市场监管局、区发改委按职责落实）</w:t>
      </w:r>
      <w:r>
        <w:rPr>
          <w:rFonts w:hint="eastAsia" w:ascii="仿宋_GB2312" w:hAnsi="仿宋_GB2312" w:eastAsia="仿宋_GB2312" w:cs="仿宋_GB2312"/>
          <w:kern w:val="0"/>
          <w:sz w:val="32"/>
          <w:szCs w:val="32"/>
        </w:rPr>
        <w:t>落实重点液态食品道路散装运输管理规定，做好许可核发和协同监管。</w:t>
      </w:r>
      <w:r>
        <w:rPr>
          <w:rFonts w:hint="eastAsia" w:ascii="Times New Roman" w:hAnsi="Times New Roman" w:eastAsia="仿宋_GB2312" w:cs="Times New Roman"/>
          <w:color w:val="000000"/>
          <w:kern w:val="0"/>
          <w:sz w:val="32"/>
          <w:szCs w:val="22"/>
        </w:rPr>
        <w:t>强化食品寄递</w:t>
      </w:r>
      <w:r>
        <w:rPr>
          <w:rFonts w:hint="eastAsia" w:ascii="Times New Roman" w:hAnsi="Times New Roman" w:eastAsia="仿宋_GB2312" w:cs="Times New Roman"/>
          <w:color w:val="000000"/>
          <w:kern w:val="0"/>
          <w:sz w:val="32"/>
          <w:szCs w:val="22"/>
          <w:lang w:eastAsia="zh-CN"/>
        </w:rPr>
        <w:t>、</w:t>
      </w:r>
      <w:r>
        <w:rPr>
          <w:rFonts w:hint="eastAsia" w:ascii="Times New Roman" w:hAnsi="Times New Roman" w:eastAsia="仿宋_GB2312" w:cs="Times New Roman"/>
          <w:color w:val="000000"/>
          <w:kern w:val="0"/>
          <w:sz w:val="32"/>
          <w:szCs w:val="22"/>
        </w:rPr>
        <w:t>配送安全管理。</w:t>
      </w:r>
      <w:r>
        <w:rPr>
          <w:rFonts w:hint="eastAsia" w:ascii="楷体_GB2312" w:hAnsi="楷体_GB2312" w:eastAsia="楷体_GB2312" w:cs="楷体_GB2312"/>
          <w:kern w:val="0"/>
          <w:sz w:val="32"/>
          <w:szCs w:val="32"/>
        </w:rPr>
        <w:t xml:space="preserve">（区农业农村委、区市场监管局、区交通局、宁河海关、区发改委、市邮政管理局第二分局按职责落实）  </w:t>
      </w:r>
    </w:p>
    <w:p w14:paraId="03692E5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（十）加强进口食品监管。</w:t>
      </w:r>
      <w:r>
        <w:rPr>
          <w:rFonts w:hint="eastAsia" w:ascii="仿宋_GB2312" w:hAnsi="仿宋_GB2312" w:eastAsia="仿宋_GB2312" w:cs="仿宋_GB2312"/>
          <w:kern w:val="0"/>
          <w:sz w:val="32"/>
          <w:szCs w:val="32"/>
        </w:rPr>
        <w:t>开展</w:t>
      </w:r>
      <w:r>
        <w:rPr>
          <w:rFonts w:hint="default" w:ascii="Times New Roman" w:hAnsi="Times New Roman" w:eastAsia="仿宋_GB2312" w:cs="Times New Roman"/>
          <w:kern w:val="0"/>
          <w:sz w:val="32"/>
          <w:szCs w:val="32"/>
        </w:rPr>
        <w:t>“国门守护”“净海”</w:t>
      </w:r>
      <w:r>
        <w:rPr>
          <w:rFonts w:hint="eastAsia" w:ascii="仿宋_GB2312" w:hAnsi="仿宋_GB2312" w:eastAsia="仿宋_GB2312" w:cs="仿宋_GB2312"/>
          <w:kern w:val="0"/>
          <w:sz w:val="32"/>
          <w:szCs w:val="32"/>
        </w:rPr>
        <w:t>专项行动，严格风险监测，严厉打击走私违法犯罪。</w:t>
      </w:r>
      <w:r>
        <w:rPr>
          <w:rFonts w:hint="eastAsia" w:ascii="楷体_GB2312" w:hAnsi="楷体_GB2312" w:eastAsia="楷体_GB2312" w:cs="楷体_GB2312"/>
          <w:kern w:val="0"/>
          <w:sz w:val="32"/>
          <w:szCs w:val="32"/>
        </w:rPr>
        <w:t>（宁河海关）</w:t>
      </w:r>
      <w:r>
        <w:rPr>
          <w:rFonts w:hint="eastAsia" w:ascii="仿宋_GB2312" w:hAnsi="仿宋_GB2312" w:eastAsia="仿宋_GB2312" w:cs="仿宋_GB2312"/>
          <w:kern w:val="0"/>
          <w:sz w:val="32"/>
          <w:szCs w:val="32"/>
        </w:rPr>
        <w:t>深化监管协作，完善跨境电商零售进口食品监管机制，加大召回监管力度。</w:t>
      </w:r>
      <w:r>
        <w:rPr>
          <w:rFonts w:hint="eastAsia" w:ascii="楷体_GB2312" w:hAnsi="楷体_GB2312" w:eastAsia="楷体_GB2312" w:cs="楷体_GB2312"/>
          <w:kern w:val="0"/>
          <w:sz w:val="32"/>
          <w:szCs w:val="32"/>
        </w:rPr>
        <w:t>（宁河海关、区市场监管局</w:t>
      </w: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rPr>
        <w:t>区商务局按职责落实）</w:t>
      </w:r>
    </w:p>
    <w:p w14:paraId="072A290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（十一）加强芦台大集专项监管。</w:t>
      </w:r>
      <w:r>
        <w:rPr>
          <w:rFonts w:hint="eastAsia" w:ascii="仿宋_GB2312" w:hAnsi="仿宋_GB2312" w:eastAsia="仿宋_GB2312" w:cs="仿宋_GB2312"/>
          <w:kern w:val="0"/>
          <w:sz w:val="32"/>
          <w:szCs w:val="32"/>
        </w:rPr>
        <w:t>聚焦大集群众聚集、业态丰富的特点，建立信息共享、联合执法、协同处置的常态化工作机制，形成监管合力。</w:t>
      </w:r>
      <w:r>
        <w:rPr>
          <w:rFonts w:hint="eastAsia" w:ascii="楷体_GB2312" w:hAnsi="楷体_GB2312" w:eastAsia="楷体_GB2312" w:cs="楷体_GB2312"/>
          <w:kern w:val="0"/>
          <w:sz w:val="32"/>
          <w:szCs w:val="32"/>
        </w:rPr>
        <w:t>（区市场监管局、兴宁集团牵头，区商务局、区城管委、公安宁河分局、区农业农村委、桥北街道配合）</w:t>
      </w:r>
      <w:r>
        <w:rPr>
          <w:rFonts w:hint="eastAsia" w:ascii="仿宋_GB2312" w:hAnsi="仿宋_GB2312" w:eastAsia="仿宋_GB2312" w:cs="仿宋_GB2312"/>
          <w:kern w:val="0"/>
          <w:sz w:val="32"/>
          <w:szCs w:val="32"/>
        </w:rPr>
        <w:t>建立大集食品安全快速检测室</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kern w:val="0"/>
          <w:sz w:val="32"/>
          <w:szCs w:val="32"/>
        </w:rPr>
        <w:t>建立商户</w:t>
      </w:r>
      <w:r>
        <w:rPr>
          <w:rFonts w:hint="default" w:ascii="Times New Roman" w:hAnsi="Times New Roman" w:eastAsia="仿宋_GB2312" w:cs="Times New Roman"/>
          <w:kern w:val="0"/>
          <w:sz w:val="32"/>
          <w:szCs w:val="32"/>
        </w:rPr>
        <w:t>“一户一档”</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实行退出机制。</w:t>
      </w:r>
      <w:r>
        <w:rPr>
          <w:rFonts w:hint="eastAsia" w:ascii="楷体_GB2312" w:hAnsi="楷体_GB2312" w:eastAsia="楷体_GB2312" w:cs="楷体_GB2312"/>
          <w:kern w:val="0"/>
          <w:sz w:val="32"/>
          <w:szCs w:val="32"/>
        </w:rPr>
        <w:t>（兴宁集团）</w:t>
      </w:r>
      <w:r>
        <w:rPr>
          <w:rFonts w:hint="eastAsia" w:ascii="仿宋_GB2312" w:hAnsi="仿宋_GB2312" w:eastAsia="仿宋_GB2312" w:cs="仿宋_GB2312"/>
          <w:kern w:val="0"/>
          <w:sz w:val="32"/>
          <w:szCs w:val="32"/>
        </w:rPr>
        <w:t>督促商户严格落实主体责任，健全进货查验等管理制度，加强培训和日常巡查。</w:t>
      </w:r>
      <w:r>
        <w:rPr>
          <w:rFonts w:hint="eastAsia" w:ascii="楷体_GB2312" w:hAnsi="楷体_GB2312" w:eastAsia="楷体_GB2312" w:cs="楷体_GB2312"/>
          <w:kern w:val="0"/>
          <w:sz w:val="32"/>
          <w:szCs w:val="32"/>
        </w:rPr>
        <w:t>（区商务局、区市场监管局按职责落实）</w:t>
      </w:r>
      <w:r>
        <w:rPr>
          <w:rFonts w:hint="eastAsia" w:ascii="仿宋_GB2312" w:hAnsi="仿宋_GB2312" w:eastAsia="仿宋_GB2312" w:cs="仿宋_GB2312"/>
          <w:kern w:val="0"/>
          <w:sz w:val="32"/>
          <w:szCs w:val="32"/>
        </w:rPr>
        <w:t>严厉打击大集及周边涉食违法犯罪和占道经营行为。</w:t>
      </w:r>
      <w:r>
        <w:rPr>
          <w:rFonts w:hint="eastAsia" w:ascii="楷体_GB2312" w:hAnsi="楷体_GB2312" w:eastAsia="楷体_GB2312" w:cs="楷体_GB2312"/>
          <w:kern w:val="0"/>
          <w:sz w:val="32"/>
          <w:szCs w:val="32"/>
        </w:rPr>
        <w:t>（公安宁河分局、区城管委</w:t>
      </w:r>
      <w:r>
        <w:rPr>
          <w:rFonts w:hint="eastAsia" w:ascii="楷体_GB2312" w:hAnsi="楷体_GB2312" w:eastAsia="楷体_GB2312" w:cs="楷体_GB2312"/>
          <w:kern w:val="0"/>
          <w:sz w:val="32"/>
          <w:szCs w:val="32"/>
          <w:lang w:eastAsia="zh-CN"/>
        </w:rPr>
        <w:t>、桥北街道</w:t>
      </w:r>
      <w:r>
        <w:rPr>
          <w:rFonts w:hint="eastAsia" w:ascii="楷体_GB2312" w:hAnsi="楷体_GB2312" w:eastAsia="楷体_GB2312" w:cs="楷体_GB2312"/>
          <w:kern w:val="0"/>
          <w:sz w:val="32"/>
          <w:szCs w:val="32"/>
        </w:rPr>
        <w:t>按职责落实）</w:t>
      </w:r>
    </w:p>
    <w:p w14:paraId="271C2B9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三、强化抽检监测，提升风险防控能力</w:t>
      </w:r>
    </w:p>
    <w:p w14:paraId="320CB97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楷体_GB2312" w:hAnsi="楷体_GB2312" w:eastAsia="楷体_GB2312" w:cs="楷体_GB2312"/>
          <w:kern w:val="0"/>
          <w:sz w:val="32"/>
          <w:szCs w:val="32"/>
        </w:rPr>
        <w:t>（十二）提升抽检效能。</w:t>
      </w:r>
      <w:r>
        <w:rPr>
          <w:rFonts w:hint="default" w:ascii="Times New Roman" w:hAnsi="Times New Roman" w:eastAsia="仿宋_GB2312" w:cs="Times New Roman"/>
          <w:color w:val="auto"/>
          <w:kern w:val="0"/>
          <w:sz w:val="32"/>
          <w:szCs w:val="32"/>
        </w:rPr>
        <w:t>优化“常规+专项+应急”抽检机制，强化落实“专项+应急”抽检工作。全年安排区级监督抽检不少于3287批次，达到8.</w:t>
      </w:r>
      <w:r>
        <w:rPr>
          <w:rFonts w:hint="default" w:ascii="Times New Roman" w:hAnsi="Times New Roman" w:eastAsia="仿宋_GB2312" w:cs="Times New Roman"/>
          <w:color w:val="auto"/>
          <w:kern w:val="0"/>
          <w:sz w:val="32"/>
          <w:szCs w:val="32"/>
          <w:lang w:val="en-US" w:eastAsia="zh-CN"/>
        </w:rPr>
        <w:t>5</w:t>
      </w:r>
      <w:r>
        <w:rPr>
          <w:rFonts w:hint="default" w:ascii="Times New Roman" w:hAnsi="Times New Roman" w:eastAsia="仿宋_GB2312" w:cs="Times New Roman"/>
          <w:color w:val="auto"/>
          <w:kern w:val="0"/>
          <w:sz w:val="32"/>
          <w:szCs w:val="32"/>
        </w:rPr>
        <w:t>批次/千人，其中市场监管部门抽检1687批次，农业农村部门农产品质量安全定量检测1600批次，</w:t>
      </w:r>
      <w:r>
        <w:rPr>
          <w:rFonts w:hint="default" w:ascii="Times New Roman" w:hAnsi="Times New Roman" w:eastAsia="仿宋_GB2312" w:cs="Times New Roman"/>
          <w:kern w:val="0"/>
          <w:sz w:val="32"/>
          <w:szCs w:val="32"/>
        </w:rPr>
        <w:t>监督抽检不合格食品核查处置率达到100%。</w:t>
      </w:r>
      <w:r>
        <w:rPr>
          <w:rFonts w:hint="eastAsia" w:ascii="楷体_GB2312" w:hAnsi="楷体_GB2312" w:eastAsia="楷体_GB2312" w:cs="楷体_GB2312"/>
          <w:kern w:val="0"/>
          <w:sz w:val="32"/>
          <w:szCs w:val="32"/>
        </w:rPr>
        <w:t>（区市场监管局、区农业农村委按职责落实）</w:t>
      </w:r>
      <w:r>
        <w:rPr>
          <w:rFonts w:hint="eastAsia" w:ascii="仿宋_GB2312" w:hAnsi="仿宋_GB2312" w:eastAsia="仿宋_GB2312" w:cs="仿宋_GB2312"/>
          <w:kern w:val="0"/>
          <w:sz w:val="32"/>
          <w:szCs w:val="32"/>
        </w:rPr>
        <w:t>组织开展</w:t>
      </w:r>
      <w:r>
        <w:rPr>
          <w:rFonts w:hint="default" w:ascii="Times New Roman" w:hAnsi="Times New Roman" w:eastAsia="仿宋_GB2312" w:cs="Times New Roman"/>
          <w:kern w:val="0"/>
          <w:sz w:val="32"/>
          <w:szCs w:val="32"/>
        </w:rPr>
        <w:t>“你点我检惠民生”</w:t>
      </w:r>
      <w:r>
        <w:rPr>
          <w:rFonts w:hint="eastAsia" w:ascii="仿宋_GB2312" w:hAnsi="仿宋_GB2312" w:eastAsia="仿宋_GB2312" w:cs="仿宋_GB2312"/>
          <w:kern w:val="0"/>
          <w:sz w:val="32"/>
          <w:szCs w:val="32"/>
        </w:rPr>
        <w:t>活动，抽检不低于</w:t>
      </w:r>
      <w:r>
        <w:rPr>
          <w:rFonts w:hint="default" w:ascii="Times New Roman" w:hAnsi="Times New Roman" w:eastAsia="仿宋_GB2312" w:cs="Times New Roman"/>
          <w:kern w:val="0"/>
          <w:sz w:val="32"/>
          <w:szCs w:val="32"/>
        </w:rPr>
        <w:t>160批次，落实食品相关产品监督抽查不合格后处理任务</w:t>
      </w:r>
      <w:r>
        <w:rPr>
          <w:rFonts w:hint="eastAsia" w:ascii="仿宋_GB2312" w:hAnsi="仿宋_GB2312" w:eastAsia="仿宋_GB2312" w:cs="仿宋_GB2312"/>
          <w:kern w:val="0"/>
          <w:sz w:val="32"/>
          <w:szCs w:val="32"/>
        </w:rPr>
        <w:t>。</w:t>
      </w:r>
      <w:r>
        <w:rPr>
          <w:rFonts w:hint="eastAsia" w:ascii="楷体_GB2312" w:hAnsi="楷体_GB2312" w:eastAsia="楷体_GB2312" w:cs="楷体_GB2312"/>
          <w:kern w:val="0"/>
          <w:sz w:val="32"/>
          <w:szCs w:val="32"/>
        </w:rPr>
        <w:t>（区市场监管局）</w:t>
      </w:r>
      <w:r>
        <w:rPr>
          <w:rFonts w:hint="eastAsia" w:ascii="仿宋_GB2312" w:hAnsi="仿宋_GB2312" w:eastAsia="仿宋_GB2312" w:cs="仿宋_GB2312"/>
          <w:kern w:val="0"/>
          <w:sz w:val="32"/>
          <w:szCs w:val="32"/>
        </w:rPr>
        <w:t>配合市级食用林产品质量检查部门做好抽检工作。</w:t>
      </w:r>
      <w:r>
        <w:rPr>
          <w:rFonts w:hint="eastAsia" w:ascii="楷体_GB2312" w:hAnsi="楷体_GB2312" w:eastAsia="楷体_GB2312" w:cs="楷体_GB2312"/>
          <w:kern w:val="0"/>
          <w:sz w:val="32"/>
          <w:szCs w:val="32"/>
        </w:rPr>
        <w:t>（区林业局）</w:t>
      </w:r>
    </w:p>
    <w:p w14:paraId="7B05CB9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（十三）加强风险监测和风险评估。</w:t>
      </w:r>
      <w:r>
        <w:rPr>
          <w:rFonts w:hint="eastAsia" w:ascii="仿宋_GB2312" w:hAnsi="仿宋_GB2312" w:eastAsia="仿宋_GB2312" w:cs="仿宋_GB2312"/>
          <w:kern w:val="0"/>
          <w:sz w:val="32"/>
          <w:szCs w:val="32"/>
        </w:rPr>
        <w:t>制定实施《宁河区食品安全风险监测方案》。</w:t>
      </w:r>
      <w:r>
        <w:rPr>
          <w:rFonts w:hint="eastAsia" w:ascii="楷体_GB2312" w:hAnsi="楷体_GB2312" w:eastAsia="楷体_GB2312" w:cs="楷体_GB2312"/>
          <w:kern w:val="0"/>
          <w:sz w:val="32"/>
          <w:szCs w:val="32"/>
        </w:rPr>
        <w:t>（区卫健委）</w:t>
      </w:r>
      <w:r>
        <w:rPr>
          <w:rFonts w:hint="eastAsia" w:ascii="仿宋_GB2312" w:hAnsi="仿宋_GB2312" w:eastAsia="仿宋_GB2312" w:cs="仿宋_GB2312"/>
          <w:kern w:val="0"/>
          <w:sz w:val="32"/>
          <w:szCs w:val="32"/>
        </w:rPr>
        <w:t>落实风险监测、食源性疾病监测任务，加强监测结果会商通报，开展食品安全标准跟踪评价。</w:t>
      </w:r>
      <w:r>
        <w:rPr>
          <w:rFonts w:hint="eastAsia" w:ascii="楷体_GB2312" w:hAnsi="楷体_GB2312" w:eastAsia="楷体_GB2312" w:cs="楷体_GB2312"/>
          <w:kern w:val="0"/>
          <w:sz w:val="32"/>
          <w:szCs w:val="32"/>
        </w:rPr>
        <w:t>（区农业农村委、区卫健委、区市场监管局按职责落实）</w:t>
      </w:r>
    </w:p>
    <w:p w14:paraId="687E9D1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四、保持高压态势，严惩违法犯罪行为</w:t>
      </w:r>
    </w:p>
    <w:p w14:paraId="134000E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楷体_GB2312" w:hAnsi="楷体_GB2312" w:eastAsia="楷体_GB2312" w:cs="楷体_GB2312"/>
          <w:kern w:val="0"/>
          <w:sz w:val="32"/>
          <w:szCs w:val="32"/>
        </w:rPr>
        <w:t>（十四）强化突出问题治理。</w:t>
      </w:r>
      <w:r>
        <w:rPr>
          <w:rFonts w:hint="default" w:ascii="Times New Roman" w:hAnsi="Times New Roman" w:eastAsia="仿宋_GB2312" w:cs="Times New Roman"/>
          <w:kern w:val="0"/>
          <w:sz w:val="32"/>
          <w:szCs w:val="32"/>
        </w:rPr>
        <w:t>深入开展“铁拳”行动，加大网络餐饮食品安全问题查处力度，严厉打击制售假劣肉制品等违法行为。</w:t>
      </w:r>
      <w:r>
        <w:rPr>
          <w:rFonts w:hint="eastAsia" w:ascii="楷体_GB2312" w:hAnsi="楷体_GB2312" w:eastAsia="楷体_GB2312" w:cs="楷体_GB2312"/>
          <w:kern w:val="0"/>
          <w:sz w:val="32"/>
          <w:szCs w:val="32"/>
        </w:rPr>
        <w:t>（区市场监管局）</w:t>
      </w:r>
      <w:r>
        <w:rPr>
          <w:rFonts w:hint="default" w:ascii="Times New Roman" w:hAnsi="Times New Roman" w:eastAsia="仿宋_GB2312" w:cs="Times New Roman"/>
          <w:kern w:val="0"/>
          <w:sz w:val="32"/>
          <w:szCs w:val="32"/>
        </w:rPr>
        <w:t>开展“绿剑护粮安”行动，严厉打击农兽药残留超标、非法使用禁限用物质、私屠滥宰、屠宰病死畜禽等食用农产品违法违规行为。</w:t>
      </w:r>
      <w:r>
        <w:rPr>
          <w:rFonts w:hint="eastAsia" w:ascii="楷体_GB2312" w:hAnsi="楷体_GB2312" w:eastAsia="楷体_GB2312" w:cs="楷体_GB2312"/>
          <w:kern w:val="0"/>
          <w:sz w:val="32"/>
          <w:szCs w:val="32"/>
        </w:rPr>
        <w:t>（区农业农村委）</w:t>
      </w:r>
    </w:p>
    <w:p w14:paraId="64E0771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（十五）严惩违法犯罪行为。</w:t>
      </w:r>
      <w:r>
        <w:rPr>
          <w:rFonts w:hint="eastAsia" w:ascii="仿宋_GB2312" w:hAnsi="仿宋_GB2312" w:eastAsia="仿宋_GB2312" w:cs="仿宋_GB2312"/>
          <w:kern w:val="0"/>
          <w:sz w:val="32"/>
          <w:szCs w:val="32"/>
        </w:rPr>
        <w:t>协调区级政法单位围绕群众反映强烈的食品安全突出问题，查办一批重大典型案件。</w:t>
      </w:r>
      <w:r>
        <w:rPr>
          <w:rFonts w:hint="eastAsia" w:ascii="楷体_GB2312" w:hAnsi="楷体_GB2312" w:eastAsia="楷体_GB2312" w:cs="楷体_GB2312"/>
          <w:kern w:val="0"/>
          <w:sz w:val="32"/>
          <w:szCs w:val="32"/>
        </w:rPr>
        <w:t>（区委政法委）</w:t>
      </w:r>
      <w:r>
        <w:rPr>
          <w:rFonts w:hint="eastAsia" w:ascii="仿宋_GB2312" w:hAnsi="仿宋_GB2312" w:eastAsia="仿宋_GB2312" w:cs="仿宋_GB2312"/>
          <w:kern w:val="0"/>
          <w:sz w:val="32"/>
          <w:szCs w:val="32"/>
        </w:rPr>
        <w:t>聚焦重点领域，严厉打击</w:t>
      </w:r>
      <w:r>
        <w:rPr>
          <w:rFonts w:hint="default" w:ascii="Times New Roman" w:hAnsi="Times New Roman" w:eastAsia="仿宋_GB2312" w:cs="Times New Roman"/>
          <w:kern w:val="0"/>
          <w:sz w:val="32"/>
          <w:szCs w:val="32"/>
        </w:rPr>
        <w:t>“两超一非”</w:t>
      </w:r>
      <w:r>
        <w:rPr>
          <w:rFonts w:hint="eastAsia" w:ascii="仿宋_GB2312" w:hAnsi="仿宋_GB2312" w:eastAsia="仿宋_GB2312" w:cs="仿宋_GB2312"/>
          <w:kern w:val="0"/>
          <w:sz w:val="32"/>
          <w:szCs w:val="32"/>
        </w:rPr>
        <w:t>、制假售假、病死畜禽等违法犯罪，全力攻坚破案。</w:t>
      </w:r>
      <w:r>
        <w:rPr>
          <w:rFonts w:hint="eastAsia" w:ascii="楷体_GB2312" w:hAnsi="楷体_GB2312" w:eastAsia="楷体_GB2312" w:cs="楷体_GB2312"/>
          <w:kern w:val="0"/>
          <w:sz w:val="32"/>
          <w:szCs w:val="32"/>
        </w:rPr>
        <w:t>（公安宁河分局）</w:t>
      </w:r>
      <w:r>
        <w:rPr>
          <w:rFonts w:hint="eastAsia" w:ascii="仿宋_GB2312" w:hAnsi="仿宋_GB2312" w:eastAsia="仿宋_GB2312" w:cs="仿宋_GB2312"/>
          <w:kern w:val="0"/>
          <w:sz w:val="32"/>
          <w:szCs w:val="32"/>
        </w:rPr>
        <w:t>严厉打击</w:t>
      </w:r>
      <w:r>
        <w:rPr>
          <w:rFonts w:hint="eastAsia" w:ascii="仿宋_GB2312" w:hAnsi="仿宋_GB2312" w:eastAsia="仿宋_GB2312" w:cs="仿宋_GB2312"/>
          <w:kern w:val="0"/>
          <w:sz w:val="32"/>
          <w:szCs w:val="32"/>
          <w:lang w:eastAsia="zh-CN"/>
        </w:rPr>
        <w:t>食品安全</w:t>
      </w:r>
      <w:r>
        <w:rPr>
          <w:rFonts w:hint="eastAsia" w:ascii="仿宋_GB2312" w:hAnsi="仿宋_GB2312" w:eastAsia="仿宋_GB2312" w:cs="仿宋_GB2312"/>
          <w:kern w:val="0"/>
          <w:sz w:val="32"/>
          <w:szCs w:val="32"/>
        </w:rPr>
        <w:t>违法犯罪及造谣传谣行为，落实处罚到人、行业禁入制度，曝光典型案例形成震慑。</w:t>
      </w:r>
      <w:r>
        <w:rPr>
          <w:rFonts w:hint="eastAsia" w:ascii="楷体_GB2312" w:hAnsi="楷体_GB2312" w:eastAsia="楷体_GB2312" w:cs="楷体_GB2312"/>
          <w:kern w:val="0"/>
          <w:sz w:val="32"/>
          <w:szCs w:val="32"/>
        </w:rPr>
        <w:t>（公安宁河分局、区法院、区检察院、区农业农村委、区市场监管局按职责落实）</w:t>
      </w:r>
    </w:p>
    <w:p w14:paraId="21783DA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黑体" w:hAnsi="黑体" w:eastAsia="黑体" w:cs="黑体"/>
          <w:kern w:val="0"/>
          <w:sz w:val="32"/>
          <w:szCs w:val="32"/>
        </w:rPr>
        <w:t>五、强化法规标准宣贯，提升综合治理水平</w:t>
      </w:r>
    </w:p>
    <w:p w14:paraId="68CF7EB8">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（十六）健全食品标准体系。</w:t>
      </w:r>
      <w:r>
        <w:rPr>
          <w:rFonts w:hint="default" w:ascii="Times New Roman" w:hAnsi="Times New Roman" w:eastAsia="仿宋_GB2312" w:cs="Times New Roman"/>
          <w:kern w:val="0"/>
          <w:sz w:val="32"/>
          <w:szCs w:val="32"/>
        </w:rPr>
        <w:t>开展食品安全标准跟踪宣贯，指导企业推广应用数字标签。</w:t>
      </w:r>
      <w:r>
        <w:rPr>
          <w:rFonts w:hint="eastAsia" w:ascii="楷体_GB2312" w:hAnsi="楷体_GB2312" w:eastAsia="楷体_GB2312" w:cs="楷体_GB2312"/>
          <w:kern w:val="0"/>
          <w:sz w:val="32"/>
          <w:szCs w:val="32"/>
        </w:rPr>
        <w:t>（区卫健委牵头，区农业农村委、区市场监管局配合）</w:t>
      </w:r>
      <w:r>
        <w:rPr>
          <w:rFonts w:hint="eastAsia" w:ascii="仿宋_GB2312" w:hAnsi="仿宋_GB2312" w:eastAsia="仿宋_GB2312" w:cs="仿宋_GB2312"/>
          <w:kern w:val="0"/>
          <w:sz w:val="32"/>
          <w:szCs w:val="32"/>
        </w:rPr>
        <w:t>配合做好地方标准制修订工作。</w:t>
      </w:r>
      <w:r>
        <w:rPr>
          <w:rFonts w:hint="eastAsia" w:ascii="楷体_GB2312" w:hAnsi="楷体_GB2312" w:eastAsia="楷体_GB2312" w:cs="楷体_GB2312"/>
          <w:kern w:val="0"/>
          <w:sz w:val="32"/>
          <w:szCs w:val="32"/>
        </w:rPr>
        <w:t>（区农业农村委、区卫健委、区市场监管局按职责落实）</w:t>
      </w:r>
    </w:p>
    <w:p w14:paraId="0B0242F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楷体_GB2312" w:hAnsi="楷体_GB2312" w:eastAsia="楷体_GB2312" w:cs="楷体_GB2312"/>
          <w:kern w:val="0"/>
          <w:sz w:val="32"/>
          <w:szCs w:val="32"/>
        </w:rPr>
        <w:t>（十七）加强信用监管。</w:t>
      </w:r>
      <w:r>
        <w:rPr>
          <w:rFonts w:hint="eastAsia" w:ascii="仿宋_GB2312" w:hAnsi="仿宋_GB2312" w:eastAsia="仿宋_GB2312" w:cs="仿宋_GB2312"/>
          <w:kern w:val="0"/>
          <w:sz w:val="32"/>
          <w:szCs w:val="32"/>
        </w:rPr>
        <w:t>深化食品生产经营企业信用分级分类管理，加大涉企信用信息归集公示力度，推动分类结果运用与</w:t>
      </w:r>
      <w:r>
        <w:rPr>
          <w:rFonts w:hint="default" w:ascii="Times New Roman" w:hAnsi="Times New Roman" w:eastAsia="仿宋_GB2312" w:cs="Times New Roman"/>
          <w:kern w:val="0"/>
          <w:sz w:val="32"/>
          <w:szCs w:val="32"/>
        </w:rPr>
        <w:t>“双随机、一公开”</w:t>
      </w:r>
      <w:r>
        <w:rPr>
          <w:rFonts w:hint="eastAsia" w:ascii="仿宋_GB2312" w:hAnsi="仿宋_GB2312" w:eastAsia="仿宋_GB2312" w:cs="仿宋_GB2312"/>
          <w:kern w:val="0"/>
          <w:sz w:val="32"/>
          <w:szCs w:val="32"/>
        </w:rPr>
        <w:t>监管融合。依法将严重违法失信主体列入市场监管严重违法失信名单，强化联合惩戒。</w:t>
      </w:r>
      <w:r>
        <w:rPr>
          <w:rFonts w:hint="eastAsia" w:ascii="楷体_GB2312" w:hAnsi="楷体_GB2312" w:eastAsia="楷体_GB2312" w:cs="楷体_GB2312"/>
          <w:kern w:val="0"/>
          <w:sz w:val="32"/>
          <w:szCs w:val="32"/>
        </w:rPr>
        <w:t>（区发改委、区市场监管局按职责落实）</w:t>
      </w:r>
      <w:r>
        <w:rPr>
          <w:rFonts w:hint="eastAsia" w:ascii="仿宋_GB2312" w:hAnsi="仿宋_GB2312" w:eastAsia="仿宋_GB2312" w:cs="仿宋_GB2312"/>
          <w:kern w:val="0"/>
          <w:sz w:val="32"/>
          <w:szCs w:val="32"/>
        </w:rPr>
        <w:t>推进食用农产品质量安全信用分级分类监管。</w:t>
      </w:r>
      <w:r>
        <w:rPr>
          <w:rFonts w:hint="eastAsia" w:ascii="楷体_GB2312" w:hAnsi="楷体_GB2312" w:eastAsia="楷体_GB2312" w:cs="楷体_GB2312"/>
          <w:kern w:val="0"/>
          <w:sz w:val="32"/>
          <w:szCs w:val="32"/>
        </w:rPr>
        <w:t>（区农业农村委）</w:t>
      </w:r>
    </w:p>
    <w:p w14:paraId="3C136D6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（十八）强化智慧监管。</w:t>
      </w:r>
      <w:r>
        <w:rPr>
          <w:rFonts w:hint="default" w:ascii="Times New Roman" w:hAnsi="Times New Roman" w:eastAsia="仿宋_GB2312" w:cs="Times New Roman"/>
          <w:kern w:val="0"/>
          <w:sz w:val="32"/>
          <w:szCs w:val="32"/>
        </w:rPr>
        <w:t>大力推动食品生产经营企业“互联网+AI监管”，逐步实现非现场可视化监管</w:t>
      </w:r>
      <w:r>
        <w:rPr>
          <w:rFonts w:hint="eastAsia" w:ascii="Times New Roman" w:hAnsi="Times New Roman" w:eastAsia="仿宋_GB2312" w:cs="Times New Roman"/>
          <w:kern w:val="0"/>
          <w:sz w:val="32"/>
          <w:szCs w:val="32"/>
          <w:lang w:eastAsia="zh-CN"/>
        </w:rPr>
        <w:t>。</w:t>
      </w:r>
      <w:r>
        <w:rPr>
          <w:rFonts w:hint="eastAsia" w:ascii="楷体_GB2312" w:hAnsi="楷体_GB2312" w:eastAsia="楷体_GB2312" w:cs="楷体_GB2312"/>
          <w:kern w:val="0"/>
          <w:sz w:val="32"/>
          <w:szCs w:val="32"/>
        </w:rPr>
        <w:t>（区数据局、区市场监管局按职责落实）</w:t>
      </w:r>
      <w:r>
        <w:rPr>
          <w:rFonts w:hint="eastAsia" w:ascii="仿宋_GB2312" w:hAnsi="仿宋_GB2312" w:eastAsia="仿宋_GB2312" w:cs="仿宋_GB2312"/>
          <w:kern w:val="0"/>
          <w:sz w:val="32"/>
          <w:szCs w:val="32"/>
        </w:rPr>
        <w:t>推广应用天津市放心农产品质量安全监管平台，加强河蟹、甘薯等重点品类食用农产品全链条追溯管理。强化追溯数据动态分析，提高风险预警能力。</w:t>
      </w:r>
      <w:r>
        <w:rPr>
          <w:rFonts w:hint="eastAsia" w:ascii="楷体_GB2312" w:hAnsi="楷体_GB2312" w:eastAsia="楷体_GB2312" w:cs="楷体_GB2312"/>
          <w:kern w:val="0"/>
          <w:sz w:val="32"/>
          <w:szCs w:val="32"/>
        </w:rPr>
        <w:t>（区农业农村委、区市场监管局按职责落实）</w:t>
      </w:r>
      <w:r>
        <w:rPr>
          <w:rFonts w:hint="eastAsia" w:ascii="仿宋_GB2312" w:hAnsi="仿宋_GB2312" w:eastAsia="仿宋_GB2312" w:cs="仿宋_GB2312"/>
          <w:kern w:val="0"/>
          <w:sz w:val="32"/>
          <w:szCs w:val="32"/>
        </w:rPr>
        <w:t>深度探索研发</w:t>
      </w:r>
      <w:r>
        <w:rPr>
          <w:rFonts w:hint="default" w:ascii="Times New Roman" w:hAnsi="Times New Roman" w:eastAsia="仿宋_GB2312" w:cs="Times New Roman"/>
          <w:kern w:val="0"/>
          <w:sz w:val="32"/>
          <w:szCs w:val="32"/>
        </w:rPr>
        <w:t>“食监助手”</w:t>
      </w:r>
      <w:r>
        <w:rPr>
          <w:rFonts w:hint="eastAsia" w:ascii="仿宋_GB2312" w:hAnsi="仿宋_GB2312" w:eastAsia="仿宋_GB2312" w:cs="仿宋_GB2312"/>
          <w:kern w:val="0"/>
          <w:sz w:val="32"/>
          <w:szCs w:val="32"/>
        </w:rPr>
        <w:t>小程序并组织开展培训普及工作，集成智能校验等核心功能，为食品生产企业提供标签审核公益性服务。</w:t>
      </w:r>
      <w:r>
        <w:rPr>
          <w:rFonts w:hint="eastAsia" w:ascii="楷体_GB2312" w:hAnsi="楷体_GB2312" w:eastAsia="楷体_GB2312" w:cs="楷体_GB2312"/>
          <w:kern w:val="0"/>
          <w:sz w:val="32"/>
          <w:szCs w:val="32"/>
        </w:rPr>
        <w:t>（区市场监管局）</w:t>
      </w:r>
    </w:p>
    <w:p w14:paraId="33159DA1">
      <w:pPr>
        <w:keepNext w:val="0"/>
        <w:keepLines w:val="0"/>
        <w:pageBreakBefore w:val="0"/>
        <w:widowControl/>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（十九）强化监管</w:t>
      </w:r>
      <w:r>
        <w:rPr>
          <w:rFonts w:hint="eastAsia" w:ascii="楷体_GB2312" w:hAnsi="楷体_GB2312" w:eastAsia="楷体_GB2312" w:cs="楷体_GB2312"/>
          <w:kern w:val="0"/>
          <w:sz w:val="32"/>
          <w:szCs w:val="32"/>
          <w:lang w:eastAsia="zh-CN"/>
        </w:rPr>
        <w:t>队伍</w:t>
      </w:r>
      <w:r>
        <w:rPr>
          <w:rFonts w:hint="eastAsia" w:ascii="楷体_GB2312" w:hAnsi="楷体_GB2312" w:eastAsia="楷体_GB2312" w:cs="楷体_GB2312"/>
          <w:kern w:val="0"/>
          <w:sz w:val="32"/>
          <w:szCs w:val="32"/>
        </w:rPr>
        <w:t>建设。</w:t>
      </w:r>
      <w:r>
        <w:rPr>
          <w:rFonts w:hint="eastAsia" w:ascii="Times New Roman" w:hAnsi="Times New Roman" w:eastAsia="仿宋_GB2312" w:cs="Nimbus Roman No9 L"/>
          <w:bCs/>
          <w:color w:val="000000"/>
          <w:kern w:val="0"/>
          <w:sz w:val="32"/>
          <w:szCs w:val="32"/>
        </w:rPr>
        <w:t>组织开展食品安全全链条监管人员全覆盖培训。</w:t>
      </w:r>
      <w:r>
        <w:rPr>
          <w:rFonts w:hint="eastAsia" w:ascii="楷体_GB2312" w:hAnsi="楷体_GB2312" w:eastAsia="楷体_GB2312" w:cs="楷体_GB2312"/>
          <w:color w:val="000000"/>
          <w:kern w:val="1"/>
          <w:sz w:val="32"/>
          <w:szCs w:val="32"/>
        </w:rPr>
        <w:t>（</w:t>
      </w:r>
      <w:r>
        <w:rPr>
          <w:rFonts w:hint="eastAsia" w:ascii="楷体_GB2312" w:hAnsi="楷体_GB2312" w:eastAsia="楷体_GB2312" w:cs="楷体_GB2312"/>
          <w:kern w:val="0"/>
          <w:sz w:val="32"/>
          <w:szCs w:val="32"/>
        </w:rPr>
        <w:t>区食药安办牵头，区食药安委相关成员单位配合</w:t>
      </w:r>
      <w:r>
        <w:rPr>
          <w:rFonts w:hint="eastAsia" w:ascii="楷体_GB2312" w:hAnsi="楷体_GB2312" w:eastAsia="楷体_GB2312" w:cs="楷体_GB2312"/>
          <w:color w:val="000000"/>
          <w:kern w:val="1"/>
          <w:sz w:val="32"/>
          <w:szCs w:val="32"/>
        </w:rPr>
        <w:t>）</w:t>
      </w:r>
      <w:r>
        <w:rPr>
          <w:rFonts w:hint="eastAsia" w:ascii="仿宋_GB2312" w:hAnsi="仿宋_GB2312" w:eastAsia="仿宋_GB2312" w:cs="仿宋_GB2312"/>
          <w:kern w:val="0"/>
          <w:sz w:val="32"/>
          <w:szCs w:val="32"/>
        </w:rPr>
        <w:t>提升农产品、粮食、林产品质量安全检测能力。</w:t>
      </w:r>
      <w:r>
        <w:rPr>
          <w:rFonts w:hint="eastAsia" w:ascii="楷体_GB2312" w:hAnsi="楷体_GB2312" w:eastAsia="楷体_GB2312" w:cs="楷体_GB2312"/>
          <w:kern w:val="0"/>
          <w:sz w:val="32"/>
          <w:szCs w:val="32"/>
        </w:rPr>
        <w:t>（区农业农村委、区发改委、区林业局按职责落实）</w:t>
      </w:r>
      <w:r>
        <w:rPr>
          <w:rFonts w:hint="eastAsia" w:ascii="仿宋_GB2312" w:hAnsi="仿宋_GB2312" w:eastAsia="仿宋_GB2312" w:cs="仿宋_GB2312"/>
          <w:kern w:val="0"/>
          <w:sz w:val="32"/>
          <w:szCs w:val="32"/>
        </w:rPr>
        <w:t>组建粮食流通执法督查专业人才库，加强执法队伍建设。</w:t>
      </w:r>
      <w:r>
        <w:rPr>
          <w:rFonts w:hint="eastAsia" w:ascii="楷体_GB2312" w:hAnsi="楷体_GB2312" w:eastAsia="楷体_GB2312" w:cs="楷体_GB2312"/>
          <w:kern w:val="0"/>
          <w:sz w:val="32"/>
          <w:szCs w:val="32"/>
        </w:rPr>
        <w:t>（区发改委）</w:t>
      </w:r>
      <w:r>
        <w:rPr>
          <w:rFonts w:hint="eastAsia" w:ascii="仿宋_GB2312" w:hAnsi="仿宋_GB2312" w:eastAsia="仿宋_GB2312" w:cs="仿宋_GB2312"/>
          <w:kern w:val="0"/>
          <w:sz w:val="32"/>
          <w:szCs w:val="32"/>
        </w:rPr>
        <w:t>持续提升进出口食品安全检查员队伍履职能力。</w:t>
      </w:r>
      <w:r>
        <w:rPr>
          <w:rFonts w:hint="eastAsia" w:ascii="楷体_GB2312" w:hAnsi="楷体_GB2312" w:eastAsia="楷体_GB2312" w:cs="楷体_GB2312"/>
          <w:kern w:val="0"/>
          <w:sz w:val="32"/>
          <w:szCs w:val="32"/>
        </w:rPr>
        <w:t>（宁河海关）</w:t>
      </w:r>
      <w:r>
        <w:rPr>
          <w:rFonts w:hint="eastAsia" w:ascii="仿宋_GB2312" w:hAnsi="仿宋_GB2312" w:eastAsia="仿宋_GB2312" w:cs="仿宋_GB2312"/>
          <w:kern w:val="0"/>
          <w:sz w:val="32"/>
          <w:szCs w:val="32"/>
        </w:rPr>
        <w:t>组建宁河区食品标签公益性审核服务团队，完善食品安全检查员制度，强化检查员队伍管理。</w:t>
      </w:r>
      <w:r>
        <w:rPr>
          <w:rFonts w:hint="eastAsia" w:ascii="楷体_GB2312" w:hAnsi="楷体_GB2312" w:eastAsia="楷体_GB2312" w:cs="楷体_GB2312"/>
          <w:kern w:val="0"/>
          <w:sz w:val="32"/>
          <w:szCs w:val="32"/>
        </w:rPr>
        <w:t>（区市场监管局）</w:t>
      </w:r>
      <w:r>
        <w:rPr>
          <w:rFonts w:hint="eastAsia" w:ascii="仿宋_GB2312" w:hAnsi="仿宋_GB2312" w:eastAsia="仿宋_GB2312" w:cs="仿宋_GB2312"/>
          <w:kern w:val="0"/>
          <w:sz w:val="32"/>
          <w:szCs w:val="32"/>
        </w:rPr>
        <w:t>指导食品生产经营主体强化从业人员食品安全法律知识培训。</w:t>
      </w:r>
      <w:r>
        <w:rPr>
          <w:rFonts w:hint="eastAsia" w:ascii="楷体_GB2312" w:hAnsi="楷体_GB2312" w:eastAsia="楷体_GB2312" w:cs="楷体_GB2312"/>
          <w:kern w:val="0"/>
          <w:sz w:val="32"/>
          <w:szCs w:val="32"/>
        </w:rPr>
        <w:t>（区人社局、区市场监管局按职责落实）</w:t>
      </w:r>
      <w:r>
        <w:rPr>
          <w:rFonts w:hint="eastAsia" w:ascii="Times New Roman" w:hAnsi="Times New Roman" w:eastAsia="仿宋_GB2312" w:cs="Times New Roman"/>
          <w:color w:val="000000"/>
          <w:kern w:val="0"/>
          <w:sz w:val="32"/>
          <w:szCs w:val="22"/>
        </w:rPr>
        <w:t>加强从业人员健康证明管理，严厉</w:t>
      </w:r>
      <w:r>
        <w:rPr>
          <w:rFonts w:ascii="Times New Roman" w:hAnsi="Times New Roman" w:eastAsia="仿宋_GB2312" w:cs="仿宋_GB2312"/>
          <w:color w:val="000000"/>
          <w:kern w:val="0"/>
          <w:sz w:val="32"/>
          <w:szCs w:val="32"/>
          <w:lang w:bidi="ar"/>
        </w:rPr>
        <w:t>打击制售假健康证行为</w:t>
      </w:r>
      <w:r>
        <w:rPr>
          <w:rFonts w:hint="eastAsia" w:ascii="Times New Roman" w:hAnsi="Times New Roman" w:eastAsia="仿宋_GB2312" w:cs="仿宋_GB2312"/>
          <w:color w:val="000000"/>
          <w:kern w:val="0"/>
          <w:sz w:val="32"/>
          <w:szCs w:val="32"/>
          <w:lang w:bidi="ar"/>
        </w:rPr>
        <w:t>。</w:t>
      </w:r>
      <w:r>
        <w:rPr>
          <w:rFonts w:hint="eastAsia" w:ascii="楷体_GB2312" w:hAnsi="楷体_GB2312" w:eastAsia="楷体_GB2312" w:cs="楷体_GB2312"/>
          <w:color w:val="000000"/>
          <w:kern w:val="1"/>
          <w:sz w:val="32"/>
          <w:szCs w:val="32"/>
        </w:rPr>
        <w:t>（区卫健委、区市场监管局、公安宁河分局按职责落实）</w:t>
      </w:r>
    </w:p>
    <w:p w14:paraId="6CEBC78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 w:hAnsi="楷体" w:eastAsia="楷体" w:cs="楷体"/>
          <w:kern w:val="0"/>
          <w:sz w:val="32"/>
          <w:szCs w:val="32"/>
        </w:rPr>
      </w:pPr>
      <w:r>
        <w:rPr>
          <w:rFonts w:hint="eastAsia" w:ascii="楷体_GB2312" w:hAnsi="楷体_GB2312" w:eastAsia="楷体_GB2312" w:cs="楷体_GB2312"/>
          <w:kern w:val="0"/>
          <w:sz w:val="32"/>
          <w:szCs w:val="32"/>
        </w:rPr>
        <w:t>（二十）提升应急处置和重大活动保障能力。</w:t>
      </w:r>
      <w:r>
        <w:rPr>
          <w:rFonts w:hint="eastAsia" w:ascii="仿宋_GB2312" w:hAnsi="仿宋_GB2312" w:eastAsia="仿宋_GB2312" w:cs="仿宋_GB2312"/>
          <w:color w:val="000000"/>
          <w:kern w:val="0"/>
          <w:sz w:val="32"/>
          <w:szCs w:val="32"/>
          <w:lang w:eastAsia="zh-CN"/>
        </w:rPr>
        <w:t>不断</w:t>
      </w:r>
      <w:r>
        <w:rPr>
          <w:rFonts w:hint="eastAsia" w:ascii="仿宋_GB2312" w:hAnsi="仿宋_GB2312" w:eastAsia="仿宋_GB2312" w:cs="仿宋_GB2312"/>
          <w:color w:val="000000"/>
          <w:kern w:val="0"/>
          <w:sz w:val="32"/>
          <w:szCs w:val="32"/>
        </w:rPr>
        <w:t>提升处置突发事件的能力和水平。</w:t>
      </w:r>
      <w:r>
        <w:rPr>
          <w:rFonts w:hint="eastAsia" w:ascii="楷体_GB2312" w:hAnsi="楷体_GB2312" w:eastAsia="楷体_GB2312" w:cs="楷体_GB2312"/>
          <w:kern w:val="0"/>
          <w:sz w:val="32"/>
          <w:szCs w:val="32"/>
        </w:rPr>
        <w:t>（区食药安办牵头，区食药安委相关成员单位配合）</w:t>
      </w:r>
      <w:r>
        <w:rPr>
          <w:rFonts w:hint="eastAsia" w:ascii="仿宋_GB2312" w:hAnsi="仿宋_GB2312" w:eastAsia="仿宋_GB2312" w:cs="仿宋_GB2312"/>
          <w:kern w:val="0"/>
          <w:sz w:val="32"/>
          <w:szCs w:val="32"/>
        </w:rPr>
        <w:t>加强网上舆情监测。</w:t>
      </w:r>
      <w:r>
        <w:rPr>
          <w:rFonts w:hint="eastAsia" w:ascii="楷体_GB2312" w:hAnsi="楷体_GB2312" w:eastAsia="楷体_GB2312" w:cs="楷体_GB2312"/>
          <w:kern w:val="0"/>
          <w:sz w:val="32"/>
          <w:szCs w:val="32"/>
        </w:rPr>
        <w:t>（区委网信办、区食药安办牵头，区食药安委相关成员单位配合）</w:t>
      </w:r>
      <w:r>
        <w:rPr>
          <w:rFonts w:hint="eastAsia" w:ascii="仿宋_GB2312" w:hAnsi="仿宋_GB2312" w:eastAsia="仿宋_GB2312" w:cs="仿宋_GB2312"/>
          <w:kern w:val="0"/>
          <w:sz w:val="32"/>
          <w:szCs w:val="32"/>
        </w:rPr>
        <w:t>发挥</w:t>
      </w:r>
      <w:r>
        <w:rPr>
          <w:rFonts w:hint="default" w:ascii="Times New Roman" w:hAnsi="Times New Roman" w:eastAsia="仿宋_GB2312" w:cs="Times New Roman"/>
          <w:kern w:val="0"/>
          <w:sz w:val="32"/>
          <w:szCs w:val="32"/>
        </w:rPr>
        <w:t>“宁河融媒”</w:t>
      </w:r>
      <w:r>
        <w:rPr>
          <w:rFonts w:hint="eastAsia" w:ascii="仿宋_GB2312" w:hAnsi="仿宋_GB2312" w:eastAsia="仿宋_GB2312" w:cs="仿宋_GB2312"/>
          <w:kern w:val="0"/>
          <w:sz w:val="32"/>
          <w:szCs w:val="32"/>
        </w:rPr>
        <w:t>等宣传媒体作用，及时回应群众关切。</w:t>
      </w:r>
      <w:r>
        <w:rPr>
          <w:rFonts w:hint="eastAsia" w:ascii="楷体_GB2312" w:hAnsi="楷体_GB2312" w:eastAsia="楷体_GB2312" w:cs="楷体_GB2312"/>
          <w:kern w:val="0"/>
          <w:sz w:val="32"/>
          <w:szCs w:val="32"/>
        </w:rPr>
        <w:t>（区融媒体中心）</w:t>
      </w:r>
      <w:r>
        <w:rPr>
          <w:rFonts w:hint="eastAsia" w:ascii="仿宋_GB2312" w:hAnsi="仿宋_GB2312" w:eastAsia="仿宋_GB2312" w:cs="仿宋_GB2312"/>
          <w:kern w:val="0"/>
          <w:sz w:val="32"/>
          <w:szCs w:val="32"/>
        </w:rPr>
        <w:t>强化应急保障队伍建设，保障七里海半程马拉松等赛事以及</w:t>
      </w:r>
      <w:r>
        <w:rPr>
          <w:rFonts w:hint="default" w:ascii="Times New Roman" w:hAnsi="Times New Roman" w:eastAsia="仿宋_GB2312" w:cs="Times New Roman"/>
          <w:kern w:val="0"/>
          <w:sz w:val="32"/>
          <w:szCs w:val="32"/>
        </w:rPr>
        <w:t>“逛宁河赶大集”</w:t>
      </w:r>
      <w:r>
        <w:rPr>
          <w:rFonts w:hint="eastAsia" w:ascii="仿宋_GB2312" w:hAnsi="仿宋_GB2312" w:eastAsia="仿宋_GB2312" w:cs="仿宋_GB2312"/>
          <w:kern w:val="0"/>
          <w:sz w:val="32"/>
          <w:szCs w:val="32"/>
        </w:rPr>
        <w:t>等重大活动的食品安全保障工作。</w:t>
      </w:r>
      <w:r>
        <w:rPr>
          <w:rFonts w:hint="eastAsia" w:ascii="楷体_GB2312" w:hAnsi="楷体_GB2312" w:eastAsia="楷体_GB2312" w:cs="楷体_GB2312"/>
          <w:kern w:val="0"/>
          <w:sz w:val="32"/>
          <w:szCs w:val="32"/>
        </w:rPr>
        <w:t>（区市场监管局牵头，区食药安委相关成员单位配合）</w:t>
      </w:r>
    </w:p>
    <w:p w14:paraId="3AC6B18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六、广泛监督，持续深化社会共治</w:t>
      </w:r>
    </w:p>
    <w:p w14:paraId="202D4D3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（二十一）强化宣传引导。</w:t>
      </w:r>
      <w:r>
        <w:rPr>
          <w:rFonts w:hint="eastAsia" w:ascii="仿宋_GB2312" w:hAnsi="仿宋_GB2312" w:eastAsia="仿宋_GB2312" w:cs="仿宋_GB2312"/>
          <w:kern w:val="0"/>
          <w:sz w:val="32"/>
          <w:szCs w:val="32"/>
        </w:rPr>
        <w:t>组织开展食品安全宣传周活动，创新方式深入基层宣传。</w:t>
      </w:r>
      <w:r>
        <w:rPr>
          <w:rFonts w:hint="eastAsia" w:ascii="楷体_GB2312" w:hAnsi="楷体_GB2312" w:eastAsia="楷体_GB2312" w:cs="楷体_GB2312"/>
          <w:kern w:val="0"/>
          <w:sz w:val="32"/>
          <w:szCs w:val="32"/>
        </w:rPr>
        <w:t>（区食药安办牵头，区食药安委相关成员单位配合）</w:t>
      </w:r>
      <w:r>
        <w:rPr>
          <w:rFonts w:hint="eastAsia" w:ascii="仿宋_GB2312" w:hAnsi="仿宋_GB2312" w:eastAsia="仿宋_GB2312" w:cs="仿宋_GB2312"/>
          <w:kern w:val="0"/>
          <w:sz w:val="32"/>
          <w:szCs w:val="32"/>
        </w:rPr>
        <w:t>发挥反食品浪费联动机制作用，定期汇总进展，发布节约提示。</w:t>
      </w:r>
      <w:r>
        <w:rPr>
          <w:rFonts w:hint="eastAsia" w:ascii="楷体_GB2312" w:hAnsi="楷体_GB2312" w:eastAsia="楷体_GB2312" w:cs="楷体_GB2312"/>
          <w:kern w:val="0"/>
          <w:sz w:val="32"/>
          <w:szCs w:val="32"/>
        </w:rPr>
        <w:t>（区发改委牵头，区文旅局、区交通局、区农业农村委、区商务局、区市场监管局、区机关事务服务中心配合）</w:t>
      </w:r>
    </w:p>
    <w:p w14:paraId="24FF3A4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（二十二）丰富社会参与。</w:t>
      </w:r>
      <w:r>
        <w:rPr>
          <w:rFonts w:hint="eastAsia" w:ascii="仿宋_GB2312" w:hAnsi="仿宋_GB2312" w:eastAsia="仿宋_GB2312" w:cs="仿宋_GB2312"/>
          <w:kern w:val="0"/>
          <w:sz w:val="32"/>
          <w:szCs w:val="32"/>
        </w:rPr>
        <w:t>推动生产经营单位食品安全风险隐患内部报告奖励机制落地见效。</w:t>
      </w:r>
      <w:r>
        <w:rPr>
          <w:rFonts w:hint="eastAsia" w:ascii="楷体_GB2312" w:hAnsi="楷体_GB2312" w:eastAsia="楷体_GB2312" w:cs="楷体_GB2312"/>
          <w:kern w:val="0"/>
          <w:sz w:val="32"/>
          <w:szCs w:val="32"/>
        </w:rPr>
        <w:t>（区食药安委相关成员单位按职责落实）</w:t>
      </w:r>
      <w:r>
        <w:rPr>
          <w:rFonts w:ascii="Times New Roman" w:hAnsi="Times New Roman" w:eastAsia="仿宋_GB2312" w:cs="Nimbus Roman No9 L"/>
          <w:bCs/>
          <w:color w:val="000000"/>
          <w:kern w:val="0"/>
          <w:sz w:val="32"/>
          <w:szCs w:val="32"/>
        </w:rPr>
        <w:t>持续开展“随机查餐厅”“红黑榜”公示。</w:t>
      </w:r>
      <w:r>
        <w:rPr>
          <w:rFonts w:hint="eastAsia" w:ascii="楷体_GB2312" w:hAnsi="楷体_GB2312" w:eastAsia="楷体_GB2312" w:cs="楷体_GB2312"/>
          <w:kern w:val="0"/>
          <w:sz w:val="32"/>
          <w:szCs w:val="32"/>
        </w:rPr>
        <w:t>（区市场监管局）</w:t>
      </w:r>
      <w:r>
        <w:rPr>
          <w:rFonts w:hint="eastAsia" w:ascii="仿宋_GB2312" w:hAnsi="仿宋_GB2312" w:eastAsia="仿宋_GB2312" w:cs="仿宋_GB2312"/>
          <w:kern w:val="0"/>
          <w:sz w:val="32"/>
          <w:szCs w:val="32"/>
        </w:rPr>
        <w:t>充分发挥食品行业协会等桥梁纽带作用。</w:t>
      </w:r>
      <w:r>
        <w:rPr>
          <w:rFonts w:hint="eastAsia" w:ascii="楷体_GB2312" w:hAnsi="楷体_GB2312" w:eastAsia="楷体_GB2312" w:cs="楷体_GB2312"/>
          <w:kern w:val="0"/>
          <w:sz w:val="32"/>
          <w:szCs w:val="32"/>
        </w:rPr>
        <w:t>（区商务局、区农业农村委、区市场监管局、农发集团按职责落实）</w:t>
      </w:r>
      <w:r>
        <w:rPr>
          <w:rFonts w:hint="eastAsia" w:ascii="仿宋_GB2312" w:hAnsi="仿宋_GB2312" w:eastAsia="仿宋_GB2312" w:cs="仿宋_GB2312"/>
          <w:kern w:val="0"/>
          <w:sz w:val="32"/>
          <w:szCs w:val="32"/>
        </w:rPr>
        <w:t>健全宁河区食品安全志愿服务队伍，开展项目化志愿服务，提升食品安全志愿服务水平。</w:t>
      </w:r>
      <w:r>
        <w:rPr>
          <w:rFonts w:hint="eastAsia" w:ascii="楷体_GB2312" w:hAnsi="楷体_GB2312" w:eastAsia="楷体_GB2312" w:cs="楷体_GB2312"/>
          <w:kern w:val="0"/>
          <w:sz w:val="32"/>
          <w:szCs w:val="32"/>
        </w:rPr>
        <w:t>（区食药安办、各镇街、园区管委会按职责落实）</w:t>
      </w:r>
    </w:p>
    <w:p w14:paraId="6893CF1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七、推动食品产业高质量发展，培育新质生产力</w:t>
      </w:r>
    </w:p>
    <w:p w14:paraId="2CFE5F8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（二十三）壮大优势特色产业。</w:t>
      </w:r>
      <w:r>
        <w:rPr>
          <w:rFonts w:hint="eastAsia" w:ascii="仿宋_GB2312" w:hAnsi="仿宋_GB2312" w:eastAsia="仿宋_GB2312" w:cs="仿宋_GB2312"/>
          <w:color w:val="000000"/>
          <w:kern w:val="0"/>
          <w:sz w:val="32"/>
          <w:szCs w:val="32"/>
        </w:rPr>
        <w:t>引导食品相关企业申报区级科技计划项目，支持</w:t>
      </w:r>
      <w:r>
        <w:rPr>
          <w:rFonts w:hint="eastAsia" w:ascii="仿宋_GB2312" w:hAnsi="仿宋_GB2312" w:eastAsia="仿宋_GB2312" w:cs="仿宋_GB2312"/>
          <w:color w:val="000000"/>
          <w:kern w:val="0"/>
          <w:sz w:val="32"/>
          <w:szCs w:val="32"/>
          <w:lang w:eastAsia="zh-CN"/>
        </w:rPr>
        <w:t>种质资源创新等领域的技术研发与应用</w:t>
      </w:r>
      <w:r>
        <w:rPr>
          <w:rFonts w:hint="eastAsia" w:ascii="仿宋_GB2312" w:hAnsi="仿宋_GB2312" w:eastAsia="仿宋_GB2312" w:cs="仿宋_GB2312"/>
          <w:color w:val="000000"/>
          <w:kern w:val="0"/>
          <w:sz w:val="32"/>
          <w:szCs w:val="32"/>
        </w:rPr>
        <w:t>。</w:t>
      </w:r>
      <w:r>
        <w:rPr>
          <w:rFonts w:hint="eastAsia" w:ascii="楷体_GB2312" w:hAnsi="楷体_GB2312" w:eastAsia="楷体_GB2312" w:cs="楷体_GB2312"/>
          <w:kern w:val="0"/>
          <w:sz w:val="32"/>
          <w:szCs w:val="32"/>
        </w:rPr>
        <w:t>（区科技局）</w:t>
      </w:r>
      <w:r>
        <w:rPr>
          <w:rFonts w:hint="eastAsia" w:ascii="仿宋_GB2312" w:hAnsi="仿宋_GB2312" w:eastAsia="仿宋_GB2312" w:cs="仿宋_GB2312"/>
          <w:kern w:val="0"/>
          <w:sz w:val="32"/>
          <w:szCs w:val="32"/>
        </w:rPr>
        <w:t>实施冷链产业高质量发展行动，结合我区特色农产品产业布局，完善全链条配送系统，鼓励企业升级冷藏冷冻设备。</w:t>
      </w:r>
      <w:r>
        <w:rPr>
          <w:rFonts w:hint="eastAsia" w:ascii="楷体_GB2312" w:hAnsi="楷体_GB2312" w:eastAsia="楷体_GB2312" w:cs="楷体_GB2312"/>
          <w:kern w:val="0"/>
          <w:sz w:val="32"/>
          <w:szCs w:val="32"/>
        </w:rPr>
        <w:t>（区发改委、区商务局、区农业农村委按职责落实）</w:t>
      </w:r>
      <w:r>
        <w:rPr>
          <w:rFonts w:hint="eastAsia" w:ascii="仿宋_GB2312" w:hAnsi="仿宋_GB2312" w:eastAsia="仿宋_GB2312" w:cs="仿宋_GB2312"/>
          <w:kern w:val="0"/>
          <w:sz w:val="32"/>
          <w:szCs w:val="32"/>
        </w:rPr>
        <w:t>助力传统食品企业转型，推进食品工业数字化、绿色化改造，打造特色食品产业集群。</w:t>
      </w:r>
      <w:r>
        <w:rPr>
          <w:rFonts w:hint="eastAsia" w:ascii="楷体_GB2312" w:hAnsi="楷体_GB2312" w:eastAsia="楷体_GB2312" w:cs="楷体_GB2312"/>
          <w:kern w:val="0"/>
          <w:sz w:val="32"/>
          <w:szCs w:val="32"/>
        </w:rPr>
        <w:t>（区工信局）</w:t>
      </w:r>
      <w:r>
        <w:rPr>
          <w:rFonts w:hint="eastAsia" w:ascii="仿宋_GB2312" w:hAnsi="仿宋_GB2312" w:eastAsia="仿宋_GB2312" w:cs="仿宋_GB2312"/>
          <w:kern w:val="0"/>
          <w:sz w:val="32"/>
          <w:szCs w:val="32"/>
        </w:rPr>
        <w:t>推动食品包装印刷绿色化，推动食品产业绿色转型。</w:t>
      </w:r>
      <w:r>
        <w:rPr>
          <w:rFonts w:hint="eastAsia" w:ascii="楷体_GB2312" w:hAnsi="楷体_GB2312" w:eastAsia="楷体_GB2312" w:cs="楷体_GB2312"/>
          <w:kern w:val="0"/>
          <w:sz w:val="32"/>
          <w:szCs w:val="32"/>
        </w:rPr>
        <w:t>（区工信局、区生态环境局按职责落实）</w:t>
      </w:r>
      <w:r>
        <w:rPr>
          <w:rFonts w:hint="eastAsia" w:ascii="仿宋_GB2312" w:hAnsi="仿宋_GB2312" w:eastAsia="仿宋_GB2312" w:cs="仿宋_GB2312"/>
          <w:kern w:val="0"/>
          <w:sz w:val="32"/>
          <w:szCs w:val="32"/>
        </w:rPr>
        <w:t>开展粮食品种品质品牌提升行动，打造宁河粮食特色品牌。</w:t>
      </w:r>
      <w:r>
        <w:rPr>
          <w:rFonts w:hint="eastAsia" w:ascii="楷体_GB2312" w:hAnsi="楷体_GB2312" w:eastAsia="楷体_GB2312" w:cs="楷体_GB2312"/>
          <w:kern w:val="0"/>
          <w:sz w:val="32"/>
          <w:szCs w:val="32"/>
        </w:rPr>
        <w:t>（区发改委）</w:t>
      </w:r>
      <w:r>
        <w:rPr>
          <w:rFonts w:hint="eastAsia" w:ascii="仿宋_GB2312" w:hAnsi="仿宋_GB2312" w:eastAsia="仿宋_GB2312" w:cs="仿宋_GB2312"/>
          <w:kern w:val="0"/>
          <w:sz w:val="32"/>
          <w:szCs w:val="32"/>
        </w:rPr>
        <w:t>加强绿色优质农产品认证，打造</w:t>
      </w:r>
      <w:r>
        <w:rPr>
          <w:rFonts w:hint="default" w:ascii="Times New Roman" w:hAnsi="Times New Roman" w:eastAsia="仿宋_GB2312" w:cs="Times New Roman"/>
          <w:kern w:val="0"/>
          <w:sz w:val="32"/>
          <w:szCs w:val="32"/>
        </w:rPr>
        <w:t>“津农精品”品</w:t>
      </w:r>
      <w:r>
        <w:rPr>
          <w:rFonts w:hint="eastAsia" w:ascii="仿宋_GB2312" w:hAnsi="仿宋_GB2312" w:eastAsia="仿宋_GB2312" w:cs="仿宋_GB2312"/>
          <w:kern w:val="0"/>
          <w:sz w:val="32"/>
          <w:szCs w:val="32"/>
        </w:rPr>
        <w:t>牌，提升宁河特色农产品知名度。</w:t>
      </w:r>
      <w:r>
        <w:rPr>
          <w:rFonts w:hint="eastAsia" w:ascii="楷体_GB2312" w:hAnsi="楷体_GB2312" w:eastAsia="楷体_GB2312" w:cs="楷体_GB2312"/>
          <w:kern w:val="0"/>
          <w:sz w:val="32"/>
          <w:szCs w:val="32"/>
        </w:rPr>
        <w:t>（区农业农村委）</w:t>
      </w:r>
    </w:p>
    <w:p w14:paraId="30DBD8C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（二十四）强化产业服务支撑。</w:t>
      </w:r>
      <w:r>
        <w:rPr>
          <w:rFonts w:hint="eastAsia" w:ascii="仿宋_GB2312" w:hAnsi="仿宋_GB2312" w:eastAsia="仿宋_GB2312" w:cs="仿宋_GB2312"/>
          <w:kern w:val="0"/>
          <w:sz w:val="32"/>
          <w:szCs w:val="32"/>
        </w:rPr>
        <w:t>打造芦台大集、七里海商圈食商文旅融合示范带，培育特色餐饮品牌和七里海周边</w:t>
      </w:r>
      <w:r>
        <w:rPr>
          <w:rFonts w:hint="default" w:ascii="Times New Roman" w:hAnsi="Times New Roman" w:eastAsia="仿宋_GB2312" w:cs="Times New Roman"/>
          <w:kern w:val="0"/>
          <w:sz w:val="32"/>
          <w:szCs w:val="32"/>
        </w:rPr>
        <w:t>“放心餐饮”门店，建立非遗美食名录，打造“宁河味道”</w:t>
      </w:r>
      <w:r>
        <w:rPr>
          <w:rFonts w:hint="eastAsia" w:ascii="仿宋_GB2312" w:hAnsi="仿宋_GB2312" w:eastAsia="仿宋_GB2312" w:cs="仿宋_GB2312"/>
          <w:kern w:val="0"/>
          <w:sz w:val="32"/>
          <w:szCs w:val="32"/>
        </w:rPr>
        <w:t>特色品牌。</w:t>
      </w:r>
      <w:r>
        <w:rPr>
          <w:rFonts w:hint="eastAsia" w:ascii="楷体_GB2312" w:hAnsi="楷体_GB2312" w:eastAsia="楷体_GB2312" w:cs="楷体_GB2312"/>
          <w:kern w:val="0"/>
          <w:sz w:val="32"/>
          <w:szCs w:val="32"/>
        </w:rPr>
        <w:t>（区文旅局、区商务局、区市场监管局按职责落实）</w:t>
      </w:r>
      <w:r>
        <w:rPr>
          <w:rFonts w:hint="eastAsia" w:ascii="仿宋_GB2312" w:hAnsi="仿宋_GB2312" w:eastAsia="仿宋_GB2312" w:cs="仿宋_GB2312"/>
          <w:kern w:val="0"/>
          <w:sz w:val="32"/>
          <w:szCs w:val="32"/>
        </w:rPr>
        <w:t>推进便民智能售卖终端、社区食堂和校园食堂建设，完善食品供应服务体系。</w:t>
      </w:r>
      <w:r>
        <w:rPr>
          <w:rFonts w:hint="eastAsia" w:ascii="楷体_GB2312" w:hAnsi="楷体_GB2312" w:eastAsia="楷体_GB2312" w:cs="楷体_GB2312"/>
          <w:kern w:val="0"/>
          <w:sz w:val="32"/>
          <w:szCs w:val="32"/>
        </w:rPr>
        <w:t>（区市场监管局、区供销社、区教育局按职责落实）</w:t>
      </w:r>
      <w:r>
        <w:rPr>
          <w:rFonts w:hint="eastAsia" w:ascii="仿宋_GB2312" w:hAnsi="仿宋_GB2312" w:eastAsia="仿宋_GB2312" w:cs="仿宋_GB2312"/>
          <w:kern w:val="0"/>
          <w:sz w:val="32"/>
          <w:szCs w:val="32"/>
        </w:rPr>
        <w:t>开展农产品集中交易市场提升改造，提升</w:t>
      </w:r>
      <w:r>
        <w:rPr>
          <w:rFonts w:hint="default" w:ascii="Times New Roman" w:hAnsi="Times New Roman" w:eastAsia="仿宋_GB2312" w:cs="Times New Roman"/>
          <w:kern w:val="0"/>
          <w:sz w:val="32"/>
          <w:szCs w:val="32"/>
        </w:rPr>
        <w:t>“菜篮子”</w:t>
      </w:r>
      <w:r>
        <w:rPr>
          <w:rFonts w:hint="eastAsia" w:ascii="仿宋_GB2312" w:hAnsi="仿宋_GB2312" w:eastAsia="仿宋_GB2312" w:cs="仿宋_GB2312"/>
          <w:kern w:val="0"/>
          <w:sz w:val="32"/>
          <w:szCs w:val="32"/>
        </w:rPr>
        <w:t>保障水平。</w:t>
      </w:r>
      <w:r>
        <w:rPr>
          <w:rFonts w:hint="eastAsia" w:ascii="楷体_GB2312" w:hAnsi="楷体_GB2312" w:eastAsia="楷体_GB2312" w:cs="楷体_GB2312"/>
          <w:kern w:val="0"/>
          <w:sz w:val="32"/>
          <w:szCs w:val="32"/>
        </w:rPr>
        <w:t>（区商务局、区市场监管局按职责落实）</w:t>
      </w:r>
      <w:r>
        <w:rPr>
          <w:rFonts w:hint="eastAsia" w:ascii="仿宋_GB2312" w:hAnsi="仿宋_GB2312" w:eastAsia="仿宋_GB2312" w:cs="仿宋_GB2312"/>
          <w:kern w:val="0"/>
          <w:sz w:val="32"/>
          <w:szCs w:val="32"/>
        </w:rPr>
        <w:t>优化食品企业开办服务，简化审批流程，鼓励企业</w:t>
      </w:r>
      <w:r>
        <w:rPr>
          <w:rFonts w:hint="default" w:ascii="Times New Roman" w:hAnsi="Times New Roman" w:eastAsia="仿宋_GB2312" w:cs="Times New Roman"/>
          <w:kern w:val="0"/>
          <w:sz w:val="32"/>
          <w:szCs w:val="32"/>
        </w:rPr>
        <w:t>通过HACCP、ISO22000</w:t>
      </w:r>
      <w:r>
        <w:rPr>
          <w:rFonts w:hint="eastAsia" w:ascii="仿宋_GB2312" w:hAnsi="仿宋_GB2312" w:eastAsia="仿宋_GB2312" w:cs="仿宋_GB2312"/>
          <w:kern w:val="0"/>
          <w:sz w:val="32"/>
          <w:szCs w:val="32"/>
        </w:rPr>
        <w:t>等国际认证，提升企业管理水平和产品质量。</w:t>
      </w:r>
      <w:r>
        <w:rPr>
          <w:rFonts w:hint="eastAsia" w:ascii="楷体_GB2312" w:hAnsi="楷体_GB2312" w:eastAsia="楷体_GB2312" w:cs="楷体_GB2312"/>
          <w:kern w:val="0"/>
          <w:sz w:val="32"/>
          <w:szCs w:val="32"/>
        </w:rPr>
        <w:t>（区市场监管局、区农业农村委按职责落实）</w:t>
      </w:r>
    </w:p>
    <w:p w14:paraId="715F3B1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各单位要细化工作措施，确保食品安全各项工作见行见效。每半年向区食药安办报送贯彻落实监管计划情况，年底前报送工作总结，由区食药安办形成年度食品安全工作报告报区委、区政府。</w:t>
      </w:r>
      <w:bookmarkEnd w:id="0"/>
    </w:p>
    <w:bookmarkEnd w:id="1"/>
    <w:p w14:paraId="778BEE72">
      <w:pPr>
        <w:pStyle w:val="10"/>
        <w:keepNext w:val="0"/>
        <w:keepLines w:val="0"/>
        <w:pageBreakBefore w:val="0"/>
        <w:kinsoku/>
        <w:wordWrap/>
        <w:overflowPunct/>
        <w:topLinePunct w:val="0"/>
        <w:bidi w:val="0"/>
        <w:snapToGrid/>
        <w:spacing w:beforeLines="0" w:afterLines="0" w:line="560" w:lineRule="exact"/>
        <w:textAlignment w:val="auto"/>
        <w:rPr>
          <w:rFonts w:hint="default" w:ascii="Times New Roman" w:hAnsi="Times New Roman" w:cs="Times New Roman"/>
        </w:rPr>
      </w:pPr>
    </w:p>
    <w:p w14:paraId="61782CD5">
      <w:pPr>
        <w:keepNext w:val="0"/>
        <w:keepLines w:val="0"/>
        <w:pageBreakBefore w:val="0"/>
        <w:kinsoku/>
        <w:wordWrap/>
        <w:overflowPunct/>
        <w:topLinePunct w:val="0"/>
        <w:bidi w:val="0"/>
        <w:snapToGrid/>
        <w:spacing w:line="560" w:lineRule="exact"/>
        <w:textAlignment w:val="auto"/>
        <w:rPr>
          <w:rFonts w:hint="default" w:ascii="Times New Roman" w:hAnsi="Times New Roman" w:cs="Times New Roman"/>
          <w:sz w:val="28"/>
          <w:szCs w:val="28"/>
        </w:rPr>
      </w:pPr>
    </w:p>
    <w:p w14:paraId="01A127CB">
      <w:pPr>
        <w:spacing w:line="560" w:lineRule="exact"/>
        <w:rPr>
          <w:rFonts w:hint="default" w:ascii="Times New Roman" w:hAnsi="Times New Roman" w:cs="Times New Roman"/>
          <w:sz w:val="28"/>
          <w:szCs w:val="28"/>
        </w:rPr>
      </w:pPr>
    </w:p>
    <w:p w14:paraId="6DBFF5F4">
      <w:pPr>
        <w:spacing w:line="560" w:lineRule="exact"/>
        <w:rPr>
          <w:rFonts w:hint="default" w:ascii="Times New Roman" w:hAnsi="Times New Roman" w:cs="Times New Roman"/>
          <w:sz w:val="28"/>
          <w:szCs w:val="28"/>
        </w:rPr>
      </w:pPr>
    </w:p>
    <w:p w14:paraId="00BD76D9">
      <w:pPr>
        <w:spacing w:line="560" w:lineRule="exact"/>
        <w:rPr>
          <w:rFonts w:hint="default" w:ascii="Times New Roman" w:hAnsi="Times New Roman" w:cs="Times New Roman"/>
          <w:sz w:val="28"/>
          <w:szCs w:val="28"/>
        </w:rPr>
      </w:pPr>
    </w:p>
    <w:p w14:paraId="2007D674">
      <w:pPr>
        <w:spacing w:line="560" w:lineRule="exact"/>
        <w:rPr>
          <w:rFonts w:hint="default" w:ascii="Times New Roman" w:hAnsi="Times New Roman" w:cs="Times New Roman"/>
          <w:sz w:val="28"/>
          <w:szCs w:val="28"/>
        </w:rPr>
      </w:pPr>
    </w:p>
    <w:p w14:paraId="13B9E901">
      <w:pPr>
        <w:spacing w:line="560" w:lineRule="exact"/>
        <w:rPr>
          <w:rFonts w:hint="default" w:ascii="Times New Roman" w:hAnsi="Times New Roman" w:cs="Times New Roman"/>
          <w:sz w:val="28"/>
          <w:szCs w:val="28"/>
        </w:rPr>
      </w:pPr>
    </w:p>
    <w:p w14:paraId="2BD46FDE">
      <w:pPr>
        <w:spacing w:line="560" w:lineRule="exact"/>
        <w:rPr>
          <w:rFonts w:hint="default" w:ascii="Times New Roman" w:hAnsi="Times New Roman" w:cs="Times New Roman"/>
          <w:sz w:val="28"/>
          <w:szCs w:val="28"/>
        </w:rPr>
      </w:pPr>
    </w:p>
    <w:p w14:paraId="632AD829">
      <w:pPr>
        <w:spacing w:line="560" w:lineRule="exact"/>
        <w:rPr>
          <w:rFonts w:hint="default" w:ascii="Times New Roman" w:hAnsi="Times New Roman" w:cs="Times New Roman"/>
          <w:sz w:val="28"/>
          <w:szCs w:val="28"/>
        </w:rPr>
      </w:pPr>
    </w:p>
    <w:p w14:paraId="6EAB3D26">
      <w:pPr>
        <w:widowControl w:val="0"/>
        <w:autoSpaceDE w:val="0"/>
        <w:autoSpaceDN w:val="0"/>
        <w:adjustRightInd w:val="0"/>
        <w:spacing w:beforeLines="0" w:afterLines="0"/>
        <w:rPr>
          <w:rFonts w:hint="default" w:ascii="Times New Roman" w:hAnsi="Times New Roman" w:eastAsia="仿宋_GB2312" w:cs="Times New Roman"/>
          <w:color w:val="000000"/>
          <w:sz w:val="24"/>
          <w:szCs w:val="24"/>
          <w:lang w:val="en-US" w:eastAsia="zh-CN"/>
        </w:rPr>
      </w:pPr>
    </w:p>
    <w:p w14:paraId="731C1BE3">
      <w:pPr>
        <w:spacing w:line="560" w:lineRule="exact"/>
        <w:rPr>
          <w:rFonts w:hint="default" w:ascii="Times New Roman" w:hAnsi="Times New Roman" w:cs="Times New Roman"/>
          <w:sz w:val="28"/>
          <w:szCs w:val="28"/>
        </w:rPr>
      </w:pPr>
    </w:p>
    <w:p w14:paraId="597E613F">
      <w:pPr>
        <w:spacing w:line="560" w:lineRule="exact"/>
        <w:rPr>
          <w:rFonts w:hint="default" w:ascii="Times New Roman" w:hAnsi="Times New Roman" w:cs="Times New Roman"/>
          <w:sz w:val="28"/>
          <w:szCs w:val="28"/>
        </w:rPr>
      </w:pPr>
    </w:p>
    <w:p w14:paraId="1170BE26">
      <w:pPr>
        <w:spacing w:line="560" w:lineRule="exact"/>
        <w:rPr>
          <w:rFonts w:hint="default" w:ascii="Times New Roman" w:hAnsi="Times New Roman" w:cs="Times New Roman"/>
          <w:sz w:val="28"/>
          <w:szCs w:val="28"/>
        </w:rPr>
      </w:pPr>
    </w:p>
    <w:p w14:paraId="6BB658AC">
      <w:pPr>
        <w:spacing w:line="20" w:lineRule="exact"/>
        <w:rPr>
          <w:rFonts w:hint="default" w:ascii="Times New Roman" w:hAnsi="Times New Roman" w:cs="Times New Roman"/>
        </w:rPr>
      </w:pPr>
    </w:p>
    <w:p w14:paraId="49915EC4">
      <w:pPr>
        <w:spacing w:line="20" w:lineRule="exact"/>
        <w:rPr>
          <w:rFonts w:hint="default" w:ascii="Times New Roman" w:hAnsi="Times New Roman" w:cs="Times New Roman"/>
        </w:rPr>
      </w:pPr>
    </w:p>
    <w:sectPr>
      <w:headerReference r:id="rId3" w:type="default"/>
      <w:footerReference r:id="rId4" w:type="default"/>
      <w:pgSz w:w="11906" w:h="16838"/>
      <w:pgMar w:top="2098" w:right="1474" w:bottom="1984" w:left="1587" w:header="851" w:footer="992" w:gutter="0"/>
      <w:pgNumType w:fmt="decimal"/>
      <w:cols w:space="720" w:num="1"/>
      <w:rtlGutter w:val="0"/>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C5096">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943EB8">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23943EB8">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E57A3">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s>
  <w:rsids>
    <w:rsidRoot w:val="00000000"/>
    <w:rsid w:val="1A644D3F"/>
    <w:rsid w:val="1E990AA4"/>
    <w:rsid w:val="296248B4"/>
    <w:rsid w:val="39861EF9"/>
    <w:rsid w:val="3B6A667A"/>
    <w:rsid w:val="3D64196C"/>
    <w:rsid w:val="3FFEB080"/>
    <w:rsid w:val="40703903"/>
    <w:rsid w:val="40A62843"/>
    <w:rsid w:val="40C234A0"/>
    <w:rsid w:val="44D15A1D"/>
    <w:rsid w:val="46767799"/>
    <w:rsid w:val="4B166E55"/>
    <w:rsid w:val="4F813436"/>
    <w:rsid w:val="542E1102"/>
    <w:rsid w:val="57882E88"/>
    <w:rsid w:val="5C902F0B"/>
    <w:rsid w:val="5FF732A1"/>
    <w:rsid w:val="6200468F"/>
    <w:rsid w:val="68FB5BB0"/>
    <w:rsid w:val="6C0F54CE"/>
    <w:rsid w:val="6C550BF0"/>
    <w:rsid w:val="6FC75B10"/>
    <w:rsid w:val="70AE52B6"/>
    <w:rsid w:val="730D6C0C"/>
    <w:rsid w:val="7461717C"/>
    <w:rsid w:val="74F11DAB"/>
    <w:rsid w:val="7799644B"/>
    <w:rsid w:val="7DFBB98E"/>
    <w:rsid w:val="7E2CE7E3"/>
    <w:rsid w:val="7FB76443"/>
    <w:rsid w:val="BDB72CA4"/>
    <w:rsid w:val="BE9BCB25"/>
    <w:rsid w:val="ED5B069E"/>
    <w:rsid w:val="EDBFCA19"/>
    <w:rsid w:val="EFF70EBF"/>
    <w:rsid w:val="F2FFA93A"/>
    <w:rsid w:val="F5EF148B"/>
    <w:rsid w:val="F7DF1A79"/>
    <w:rsid w:val="FEFD6A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2"/>
    <w:next w:val="1"/>
    <w:qFormat/>
    <w:uiPriority w:val="0"/>
    <w:pPr>
      <w:keepNext w:val="0"/>
      <w:keepLines w:val="0"/>
      <w:widowControl w:val="0"/>
      <w:spacing w:beforeLines="0" w:beforeAutospacing="0" w:afterLines="0" w:afterAutospacing="0" w:line="560" w:lineRule="exact"/>
      <w:ind w:left="0" w:leftChars="0" w:firstLine="640" w:firstLineChars="200"/>
      <w:jc w:val="both"/>
      <w:outlineLvl w:val="1"/>
    </w:pPr>
    <w:rPr>
      <w:rFonts w:ascii="Times New Roman" w:hAnsi="Times New Roman" w:eastAsia="楷体" w:cs="Times New Roman"/>
      <w:kern w:val="1"/>
      <w:sz w:val="21"/>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paragraph" w:customStyle="1" w:styleId="10">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4851</Words>
  <Characters>4914</Characters>
  <Lines>0</Lines>
  <Paragraphs>0</Paragraphs>
  <TotalTime>12</TotalTime>
  <ScaleCrop>false</ScaleCrop>
  <LinksUpToDate>false</LinksUpToDate>
  <CharactersWithSpaces>4970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2023-08-16T11:48:00Z</dcterms:created>
  <dc:creator>Administrator</dc:creator>
  <cp:lastModifiedBy>momohan</cp:lastModifiedBy>
  <dcterms:modified xsi:type="dcterms:W3CDTF">2026-06-23T07:57:14Z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F1D55ED9A0A641A880446C85F2A590CA_13</vt:lpwstr>
  </property>
  <property fmtid="{D5CDD505-2E9C-101B-9397-08002B2CF9AE}" pid="4" name="KSOTemplateDocerSaveRecord">
    <vt:lpwstr>eyJoZGlkIjoiOTg1MTVmMmNjMmRlOWNiN2M3YTFlMzZmNmY3MmM1ZWMiLCJ1c2VySWQiOiIxMTUyMTIyODM1In0=</vt:lpwstr>
  </property>
</Properties>
</file>